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9F" w:rsidRPr="00726B93" w:rsidRDefault="008E7A9F" w:rsidP="008E7A9F">
      <w:pPr>
        <w:ind w:right="-376"/>
        <w:jc w:val="both"/>
        <w:rPr>
          <w:rFonts w:ascii="Arial" w:hAnsi="Arial" w:cs="Arial"/>
          <w:sz w:val="24"/>
          <w:szCs w:val="24"/>
        </w:rPr>
      </w:pPr>
      <w:r w:rsidRPr="00726B93">
        <w:rPr>
          <w:rFonts w:ascii="Arial" w:hAnsi="Arial" w:cs="Arial"/>
          <w:sz w:val="24"/>
          <w:szCs w:val="24"/>
        </w:rPr>
        <w:t>Ley publicada en la Sección Cuarta del Periódico Oficial, Órgano del Gobierno del Estado de Nayarit, el lunes 17 de diciembre de 2012.</w:t>
      </w:r>
    </w:p>
    <w:p w:rsidR="008E7A9F" w:rsidRPr="00726B93" w:rsidRDefault="008E7A9F" w:rsidP="008E7A9F">
      <w:pPr>
        <w:ind w:right="-376"/>
        <w:jc w:val="both"/>
        <w:rPr>
          <w:rFonts w:ascii="Arial" w:hAnsi="Arial" w:cs="Arial"/>
          <w:sz w:val="24"/>
          <w:szCs w:val="24"/>
        </w:rPr>
      </w:pPr>
      <w:r w:rsidRPr="00726B93">
        <w:rPr>
          <w:rFonts w:ascii="Arial" w:hAnsi="Arial" w:cs="Arial"/>
          <w:sz w:val="24"/>
          <w:szCs w:val="24"/>
        </w:rPr>
        <w:t>Al margen un Sello con el Escudo Nacional que dice: Estado Unidos Mexicanos.- Poder Legislativo.- Nayarit</w:t>
      </w:r>
    </w:p>
    <w:p w:rsidR="008E7A9F" w:rsidRPr="00726B93" w:rsidRDefault="008E7A9F" w:rsidP="008E7A9F">
      <w:pPr>
        <w:ind w:right="-376"/>
        <w:jc w:val="both"/>
        <w:rPr>
          <w:rFonts w:ascii="Arial" w:hAnsi="Arial" w:cs="Arial"/>
          <w:sz w:val="24"/>
          <w:szCs w:val="24"/>
        </w:rPr>
      </w:pPr>
      <w:r w:rsidRPr="00726B93">
        <w:rPr>
          <w:rFonts w:ascii="Arial" w:hAnsi="Arial" w:cs="Arial"/>
          <w:b/>
          <w:sz w:val="24"/>
          <w:szCs w:val="24"/>
        </w:rPr>
        <w:t>ROBERTO SANDOVAL CASTAÑEDA</w:t>
      </w:r>
      <w:r w:rsidRPr="00726B93">
        <w:rPr>
          <w:rFonts w:ascii="Arial" w:hAnsi="Arial" w:cs="Arial"/>
          <w:sz w:val="24"/>
          <w:szCs w:val="24"/>
        </w:rPr>
        <w:t>, Gobernador Constitucional del Estado Libre y Soberano de Nayarit, a los habitantes del mismo sabed:</w:t>
      </w:r>
    </w:p>
    <w:p w:rsidR="00071BDE" w:rsidRPr="00726B93" w:rsidRDefault="00071BDE" w:rsidP="008E7A9F">
      <w:pPr>
        <w:spacing w:after="0"/>
        <w:ind w:left="1701" w:right="-376"/>
        <w:jc w:val="both"/>
        <w:rPr>
          <w:rFonts w:ascii="Arial" w:hAnsi="Arial" w:cs="Arial"/>
          <w:b/>
          <w:sz w:val="24"/>
          <w:szCs w:val="24"/>
        </w:rPr>
      </w:pPr>
      <w:r w:rsidRPr="00726B93">
        <w:rPr>
          <w:rFonts w:ascii="Arial" w:hAnsi="Arial" w:cs="Arial"/>
          <w:b/>
          <w:sz w:val="24"/>
          <w:szCs w:val="24"/>
        </w:rPr>
        <w:t>El Congreso del Estado Libre y Soberano de Nayarit</w:t>
      </w:r>
    </w:p>
    <w:p w:rsidR="00071BDE" w:rsidRPr="00726B93" w:rsidRDefault="00071BDE" w:rsidP="008E7A9F">
      <w:pPr>
        <w:spacing w:after="0"/>
        <w:ind w:left="1701" w:right="-234"/>
        <w:jc w:val="both"/>
        <w:rPr>
          <w:rFonts w:ascii="Arial" w:hAnsi="Arial" w:cs="Arial"/>
          <w:b/>
          <w:sz w:val="24"/>
          <w:szCs w:val="24"/>
        </w:rPr>
      </w:pPr>
      <w:proofErr w:type="gramStart"/>
      <w:r w:rsidRPr="00726B93">
        <w:rPr>
          <w:rFonts w:ascii="Arial" w:hAnsi="Arial" w:cs="Arial"/>
          <w:b/>
          <w:sz w:val="24"/>
          <w:szCs w:val="24"/>
        </w:rPr>
        <w:t>representado</w:t>
      </w:r>
      <w:proofErr w:type="gramEnd"/>
      <w:r w:rsidRPr="00726B93">
        <w:rPr>
          <w:rFonts w:ascii="Arial" w:hAnsi="Arial" w:cs="Arial"/>
          <w:b/>
          <w:sz w:val="24"/>
          <w:szCs w:val="24"/>
        </w:rPr>
        <w:t xml:space="preserve"> por su XXX Legislatura, decreta:</w:t>
      </w:r>
    </w:p>
    <w:p w:rsidR="00071BDE" w:rsidRPr="00726B93" w:rsidRDefault="00071BDE" w:rsidP="00071BDE">
      <w:pPr>
        <w:jc w:val="center"/>
        <w:rPr>
          <w:rFonts w:ascii="Arial" w:hAnsi="Arial" w:cs="Arial"/>
          <w:b/>
          <w:bCs/>
          <w:sz w:val="24"/>
          <w:szCs w:val="24"/>
        </w:rPr>
      </w:pPr>
    </w:p>
    <w:p w:rsidR="00071BDE" w:rsidRPr="00726B93" w:rsidRDefault="00071BDE" w:rsidP="00071BDE">
      <w:pPr>
        <w:spacing w:after="0" w:line="360" w:lineRule="auto"/>
        <w:contextualSpacing/>
        <w:jc w:val="center"/>
        <w:rPr>
          <w:rFonts w:ascii="Arial" w:hAnsi="Arial" w:cs="Arial"/>
          <w:b/>
          <w:sz w:val="24"/>
          <w:szCs w:val="24"/>
        </w:rPr>
      </w:pPr>
      <w:r w:rsidRPr="00726B93">
        <w:rPr>
          <w:rFonts w:ascii="Arial" w:hAnsi="Arial" w:cs="Arial"/>
          <w:b/>
          <w:sz w:val="24"/>
          <w:szCs w:val="24"/>
        </w:rPr>
        <w:t xml:space="preserve">Ley para evaluar el Desempeño de </w:t>
      </w:r>
    </w:p>
    <w:p w:rsidR="00071BDE" w:rsidRPr="00726B93" w:rsidRDefault="00071BDE" w:rsidP="00071BDE">
      <w:pPr>
        <w:spacing w:after="0" w:line="360" w:lineRule="auto"/>
        <w:contextualSpacing/>
        <w:jc w:val="center"/>
        <w:rPr>
          <w:rFonts w:ascii="Arial" w:hAnsi="Arial" w:cs="Arial"/>
          <w:b/>
          <w:sz w:val="24"/>
          <w:szCs w:val="24"/>
        </w:rPr>
      </w:pPr>
      <w:r w:rsidRPr="00726B93">
        <w:rPr>
          <w:rFonts w:ascii="Arial" w:hAnsi="Arial" w:cs="Arial"/>
          <w:b/>
          <w:sz w:val="24"/>
          <w:szCs w:val="24"/>
        </w:rPr>
        <w:t xml:space="preserve">Servidores Públicos del Estado de Nayarit </w:t>
      </w:r>
    </w:p>
    <w:p w:rsidR="00071BDE" w:rsidRPr="00726B93" w:rsidRDefault="00071BDE" w:rsidP="00071BDE">
      <w:pPr>
        <w:spacing w:after="0" w:line="360" w:lineRule="auto"/>
        <w:contextualSpacing/>
        <w:jc w:val="center"/>
        <w:rPr>
          <w:rFonts w:ascii="Arial" w:hAnsi="Arial" w:cs="Arial"/>
          <w:b/>
          <w:sz w:val="24"/>
          <w:szCs w:val="24"/>
        </w:rPr>
      </w:pPr>
    </w:p>
    <w:p w:rsidR="00071BDE" w:rsidRPr="00726B93" w:rsidRDefault="00071BDE" w:rsidP="00726B93">
      <w:pPr>
        <w:pStyle w:val="Ttulo2"/>
        <w:jc w:val="center"/>
        <w:rPr>
          <w:rFonts w:ascii="Arial" w:hAnsi="Arial" w:cs="Arial"/>
          <w:color w:val="auto"/>
          <w:sz w:val="24"/>
          <w:szCs w:val="24"/>
        </w:rPr>
      </w:pPr>
      <w:bookmarkStart w:id="0" w:name="_Toc359411851"/>
      <w:r w:rsidRPr="00726B93">
        <w:rPr>
          <w:rFonts w:ascii="Arial" w:hAnsi="Arial" w:cs="Arial"/>
          <w:color w:val="auto"/>
          <w:sz w:val="24"/>
          <w:szCs w:val="24"/>
        </w:rPr>
        <w:t>Capítulo Primero</w:t>
      </w:r>
      <w:bookmarkEnd w:id="0"/>
    </w:p>
    <w:p w:rsidR="00071BDE" w:rsidRPr="00726B93" w:rsidRDefault="00071BDE" w:rsidP="00726B93">
      <w:pPr>
        <w:pStyle w:val="Ttulo2"/>
        <w:jc w:val="center"/>
        <w:rPr>
          <w:rFonts w:ascii="Arial" w:hAnsi="Arial" w:cs="Arial"/>
          <w:color w:val="auto"/>
          <w:sz w:val="24"/>
          <w:szCs w:val="24"/>
        </w:rPr>
      </w:pPr>
      <w:bookmarkStart w:id="1" w:name="_Toc359411852"/>
      <w:r w:rsidRPr="00726B93">
        <w:rPr>
          <w:rFonts w:ascii="Arial" w:hAnsi="Arial" w:cs="Arial"/>
          <w:color w:val="auto"/>
          <w:sz w:val="24"/>
          <w:szCs w:val="24"/>
        </w:rPr>
        <w:t>Disposiciones Generales</w:t>
      </w:r>
      <w:bookmarkEnd w:id="1"/>
    </w:p>
    <w:p w:rsidR="00071BDE" w:rsidRPr="00726B93" w:rsidRDefault="00071BDE" w:rsidP="00071BDE">
      <w:pPr>
        <w:spacing w:after="0" w:line="360" w:lineRule="auto"/>
        <w:contextualSpacing/>
        <w:jc w:val="center"/>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1º. </w:t>
      </w:r>
      <w:r w:rsidRPr="00726B93">
        <w:rPr>
          <w:rFonts w:ascii="Arial" w:hAnsi="Arial" w:cs="Arial"/>
          <w:sz w:val="24"/>
          <w:szCs w:val="24"/>
        </w:rPr>
        <w:t>La presente ley es de orden público y tiene por objeto establecer las bases para evaluar el desempeño de los servidores públicos que por disposición de la ley</w:t>
      </w:r>
      <w:r w:rsidR="003D5F7E" w:rsidRPr="00726B93">
        <w:rPr>
          <w:rFonts w:ascii="Arial" w:hAnsi="Arial" w:cs="Arial"/>
          <w:sz w:val="24"/>
          <w:szCs w:val="24"/>
        </w:rPr>
        <w:t>,</w:t>
      </w:r>
      <w:r w:rsidRPr="00726B93">
        <w:rPr>
          <w:rFonts w:ascii="Arial" w:hAnsi="Arial" w:cs="Arial"/>
          <w:sz w:val="24"/>
          <w:szCs w:val="24"/>
        </w:rPr>
        <w:t xml:space="preserve"> les asista la expectativa de derecho para ser ratificados en el cargo y cuya atribución corresponda al Congreso.</w:t>
      </w:r>
    </w:p>
    <w:p w:rsidR="00071BDE" w:rsidRPr="00726B93" w:rsidRDefault="00071BDE" w:rsidP="00071BDE">
      <w:pPr>
        <w:spacing w:after="0" w:line="360" w:lineRule="auto"/>
        <w:contextualSpacing/>
        <w:jc w:val="both"/>
        <w:rPr>
          <w:rFonts w:ascii="Arial" w:hAnsi="Arial" w:cs="Arial"/>
          <w:sz w:val="24"/>
          <w:szCs w:val="24"/>
          <w:u w:val="single"/>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2º. </w:t>
      </w:r>
      <w:r w:rsidRPr="00726B93">
        <w:rPr>
          <w:rFonts w:ascii="Arial" w:hAnsi="Arial" w:cs="Arial"/>
          <w:sz w:val="24"/>
          <w:szCs w:val="24"/>
        </w:rPr>
        <w:t>Para los efectos de la presente ley se entenderá por:</w:t>
      </w:r>
    </w:p>
    <w:p w:rsidR="00071BDE" w:rsidRPr="00726B93" w:rsidRDefault="00071BDE" w:rsidP="00071BDE">
      <w:pPr>
        <w:numPr>
          <w:ilvl w:val="0"/>
          <w:numId w:val="1"/>
        </w:numPr>
        <w:spacing w:after="0" w:line="360" w:lineRule="auto"/>
        <w:contextualSpacing/>
        <w:jc w:val="both"/>
        <w:rPr>
          <w:rFonts w:ascii="Arial" w:hAnsi="Arial" w:cs="Arial"/>
          <w:sz w:val="24"/>
          <w:szCs w:val="24"/>
        </w:rPr>
      </w:pPr>
      <w:r w:rsidRPr="00726B93">
        <w:rPr>
          <w:rFonts w:ascii="Arial" w:hAnsi="Arial" w:cs="Arial"/>
          <w:b/>
          <w:sz w:val="24"/>
          <w:szCs w:val="24"/>
        </w:rPr>
        <w:t xml:space="preserve">Constitución: </w:t>
      </w:r>
      <w:r w:rsidRPr="00726B93">
        <w:rPr>
          <w:rFonts w:ascii="Arial" w:hAnsi="Arial" w:cs="Arial"/>
          <w:sz w:val="24"/>
          <w:szCs w:val="24"/>
        </w:rPr>
        <w:t xml:space="preserve">a la Constitución </w:t>
      </w:r>
      <w:r w:rsidR="004657BC" w:rsidRPr="00726B93">
        <w:rPr>
          <w:rFonts w:ascii="Arial" w:hAnsi="Arial" w:cs="Arial"/>
          <w:sz w:val="24"/>
          <w:szCs w:val="24"/>
        </w:rPr>
        <w:t>Política del Estado</w:t>
      </w:r>
      <w:r w:rsidR="003D5F7E" w:rsidRPr="00726B93">
        <w:rPr>
          <w:rFonts w:ascii="Arial" w:hAnsi="Arial" w:cs="Arial"/>
          <w:sz w:val="24"/>
          <w:szCs w:val="24"/>
        </w:rPr>
        <w:t xml:space="preserve"> Libre y Soberano</w:t>
      </w:r>
      <w:r w:rsidR="004657BC" w:rsidRPr="00726B93">
        <w:rPr>
          <w:rFonts w:ascii="Arial" w:hAnsi="Arial" w:cs="Arial"/>
          <w:sz w:val="24"/>
          <w:szCs w:val="24"/>
        </w:rPr>
        <w:t xml:space="preserve"> de Nayarit;</w:t>
      </w:r>
    </w:p>
    <w:p w:rsidR="00071BDE" w:rsidRPr="00726B93" w:rsidRDefault="00071BDE" w:rsidP="00071BDE">
      <w:pPr>
        <w:numPr>
          <w:ilvl w:val="0"/>
          <w:numId w:val="1"/>
        </w:numPr>
        <w:spacing w:after="0" w:line="360" w:lineRule="auto"/>
        <w:contextualSpacing/>
        <w:jc w:val="both"/>
        <w:rPr>
          <w:rFonts w:ascii="Arial" w:hAnsi="Arial" w:cs="Arial"/>
          <w:sz w:val="24"/>
          <w:szCs w:val="24"/>
        </w:rPr>
      </w:pPr>
      <w:r w:rsidRPr="00726B93">
        <w:rPr>
          <w:rFonts w:ascii="Arial" w:hAnsi="Arial" w:cs="Arial"/>
          <w:b/>
          <w:sz w:val="24"/>
          <w:szCs w:val="24"/>
        </w:rPr>
        <w:t>Ente Público:</w:t>
      </w:r>
      <w:r w:rsidRPr="00726B93">
        <w:rPr>
          <w:rFonts w:ascii="Arial" w:hAnsi="Arial" w:cs="Arial"/>
          <w:sz w:val="24"/>
          <w:szCs w:val="24"/>
        </w:rPr>
        <w:t xml:space="preserve"> al Poder, organismo o cualquier institución pública a cuya integración </w:t>
      </w:r>
      <w:r w:rsidR="004657BC" w:rsidRPr="00726B93">
        <w:rPr>
          <w:rFonts w:ascii="Arial" w:hAnsi="Arial" w:cs="Arial"/>
          <w:sz w:val="24"/>
          <w:szCs w:val="24"/>
        </w:rPr>
        <w:t>pertenezca el servidor público;</w:t>
      </w:r>
    </w:p>
    <w:p w:rsidR="00071BDE" w:rsidRPr="00726B93" w:rsidRDefault="00071BDE" w:rsidP="00071BDE">
      <w:pPr>
        <w:numPr>
          <w:ilvl w:val="0"/>
          <w:numId w:val="1"/>
        </w:numPr>
        <w:spacing w:after="0" w:line="360" w:lineRule="auto"/>
        <w:contextualSpacing/>
        <w:jc w:val="both"/>
        <w:rPr>
          <w:rFonts w:ascii="Arial" w:hAnsi="Arial" w:cs="Arial"/>
          <w:b/>
          <w:sz w:val="24"/>
          <w:szCs w:val="24"/>
        </w:rPr>
      </w:pPr>
      <w:r w:rsidRPr="00726B93">
        <w:rPr>
          <w:rFonts w:ascii="Arial" w:hAnsi="Arial" w:cs="Arial"/>
          <w:b/>
          <w:sz w:val="24"/>
          <w:szCs w:val="24"/>
        </w:rPr>
        <w:t>Evaluación:</w:t>
      </w:r>
      <w:r w:rsidRPr="00726B93">
        <w:rPr>
          <w:rFonts w:ascii="Arial" w:hAnsi="Arial" w:cs="Arial"/>
          <w:sz w:val="24"/>
          <w:szCs w:val="24"/>
        </w:rPr>
        <w:t xml:space="preserve"> procedimiento mediante el cual se analiza, y valora el desempeño del servidor público para efecto de determinar sobre la</w:t>
      </w:r>
      <w:r w:rsidR="004657BC" w:rsidRPr="00726B93">
        <w:rPr>
          <w:rFonts w:ascii="Arial" w:hAnsi="Arial" w:cs="Arial"/>
          <w:sz w:val="24"/>
          <w:szCs w:val="24"/>
        </w:rPr>
        <w:t xml:space="preserve"> ratificación o no en el cargo;</w:t>
      </w:r>
    </w:p>
    <w:p w:rsidR="00071BDE" w:rsidRPr="00726B93" w:rsidRDefault="00071BDE" w:rsidP="00071BDE">
      <w:pPr>
        <w:numPr>
          <w:ilvl w:val="0"/>
          <w:numId w:val="1"/>
        </w:numPr>
        <w:spacing w:after="0" w:line="360" w:lineRule="auto"/>
        <w:contextualSpacing/>
        <w:jc w:val="both"/>
        <w:rPr>
          <w:rFonts w:ascii="Arial" w:hAnsi="Arial" w:cs="Arial"/>
          <w:b/>
          <w:sz w:val="24"/>
          <w:szCs w:val="24"/>
        </w:rPr>
      </w:pPr>
      <w:r w:rsidRPr="00726B93">
        <w:rPr>
          <w:rFonts w:ascii="Arial" w:hAnsi="Arial" w:cs="Arial"/>
          <w:b/>
          <w:sz w:val="24"/>
          <w:szCs w:val="24"/>
        </w:rPr>
        <w:t xml:space="preserve">Evaluado: </w:t>
      </w:r>
      <w:r w:rsidRPr="00726B93">
        <w:rPr>
          <w:rFonts w:ascii="Arial" w:hAnsi="Arial" w:cs="Arial"/>
          <w:sz w:val="24"/>
          <w:szCs w:val="24"/>
        </w:rPr>
        <w:t>al servidor público que expresamente manifieste la pretensió</w:t>
      </w:r>
      <w:r w:rsidR="004657BC" w:rsidRPr="00726B93">
        <w:rPr>
          <w:rFonts w:ascii="Arial" w:hAnsi="Arial" w:cs="Arial"/>
          <w:sz w:val="24"/>
          <w:szCs w:val="24"/>
        </w:rPr>
        <w:t>n de ser ratificado en el cargo;</w:t>
      </w:r>
    </w:p>
    <w:p w:rsidR="00071BDE" w:rsidRPr="00726B93" w:rsidRDefault="00071BDE" w:rsidP="00071BDE">
      <w:pPr>
        <w:numPr>
          <w:ilvl w:val="0"/>
          <w:numId w:val="1"/>
        </w:numPr>
        <w:spacing w:after="0" w:line="360" w:lineRule="auto"/>
        <w:contextualSpacing/>
        <w:jc w:val="both"/>
        <w:rPr>
          <w:rFonts w:ascii="Arial" w:hAnsi="Arial" w:cs="Arial"/>
          <w:b/>
          <w:sz w:val="24"/>
          <w:szCs w:val="24"/>
        </w:rPr>
      </w:pPr>
      <w:r w:rsidRPr="00726B93">
        <w:rPr>
          <w:rFonts w:ascii="Arial" w:hAnsi="Arial" w:cs="Arial"/>
          <w:b/>
          <w:sz w:val="24"/>
          <w:szCs w:val="24"/>
        </w:rPr>
        <w:lastRenderedPageBreak/>
        <w:t xml:space="preserve">Expediente de Evaluación: </w:t>
      </w:r>
      <w:r w:rsidRPr="00726B93">
        <w:rPr>
          <w:rFonts w:ascii="Arial" w:hAnsi="Arial" w:cs="Arial"/>
          <w:sz w:val="24"/>
          <w:szCs w:val="24"/>
        </w:rPr>
        <w:t xml:space="preserve">registro en el que se consignen documentalmente las diversas actividades desempeñadas durante el periodo de su gestión por cada uno de los servidores públicos, así como los datos o información que se estime necesaria dentro del </w:t>
      </w:r>
      <w:r w:rsidR="004657BC" w:rsidRPr="00726B93">
        <w:rPr>
          <w:rFonts w:ascii="Arial" w:hAnsi="Arial" w:cs="Arial"/>
          <w:sz w:val="24"/>
          <w:szCs w:val="24"/>
        </w:rPr>
        <w:t>proceso de evaluación;</w:t>
      </w:r>
    </w:p>
    <w:p w:rsidR="00071BDE" w:rsidRPr="00726B93" w:rsidRDefault="00071BDE" w:rsidP="00071BDE">
      <w:pPr>
        <w:numPr>
          <w:ilvl w:val="0"/>
          <w:numId w:val="1"/>
        </w:numPr>
        <w:spacing w:after="0" w:line="360" w:lineRule="auto"/>
        <w:contextualSpacing/>
        <w:jc w:val="both"/>
        <w:rPr>
          <w:rFonts w:ascii="Arial" w:hAnsi="Arial" w:cs="Arial"/>
          <w:sz w:val="24"/>
          <w:szCs w:val="24"/>
        </w:rPr>
      </w:pPr>
      <w:r w:rsidRPr="00726B93">
        <w:rPr>
          <w:rFonts w:ascii="Arial" w:hAnsi="Arial" w:cs="Arial"/>
          <w:b/>
          <w:sz w:val="24"/>
          <w:szCs w:val="24"/>
        </w:rPr>
        <w:t xml:space="preserve">Asamblea Legislativa o Congreso: </w:t>
      </w:r>
      <w:r w:rsidRPr="00726B93">
        <w:rPr>
          <w:rFonts w:ascii="Arial" w:hAnsi="Arial" w:cs="Arial"/>
          <w:sz w:val="24"/>
          <w:szCs w:val="24"/>
        </w:rPr>
        <w:t>al</w:t>
      </w:r>
      <w:r w:rsidR="004657BC" w:rsidRPr="00726B93">
        <w:rPr>
          <w:rFonts w:ascii="Arial" w:hAnsi="Arial" w:cs="Arial"/>
          <w:sz w:val="24"/>
          <w:szCs w:val="24"/>
        </w:rPr>
        <w:t xml:space="preserve"> Congreso del Estado de Nayarit;</w:t>
      </w:r>
    </w:p>
    <w:p w:rsidR="00071BDE" w:rsidRPr="00726B93" w:rsidRDefault="00071BDE" w:rsidP="00071BDE">
      <w:pPr>
        <w:numPr>
          <w:ilvl w:val="0"/>
          <w:numId w:val="1"/>
        </w:numPr>
        <w:spacing w:after="0" w:line="360" w:lineRule="auto"/>
        <w:contextualSpacing/>
        <w:jc w:val="both"/>
        <w:rPr>
          <w:rFonts w:ascii="Arial" w:hAnsi="Arial" w:cs="Arial"/>
          <w:sz w:val="24"/>
          <w:szCs w:val="24"/>
        </w:rPr>
      </w:pPr>
      <w:r w:rsidRPr="00726B93">
        <w:rPr>
          <w:rFonts w:ascii="Arial" w:hAnsi="Arial" w:cs="Arial"/>
          <w:b/>
          <w:sz w:val="24"/>
          <w:szCs w:val="24"/>
        </w:rPr>
        <w:t xml:space="preserve"> Ratificación: </w:t>
      </w:r>
      <w:r w:rsidRPr="00726B93">
        <w:rPr>
          <w:rFonts w:ascii="Arial" w:hAnsi="Arial" w:cs="Arial"/>
          <w:sz w:val="24"/>
          <w:szCs w:val="24"/>
        </w:rPr>
        <w:t>resolución que emite el Congreso en el sentido de que el servidor público debe continuar ejerciendo el cargo por el período que establezca la ley res</w:t>
      </w:r>
      <w:r w:rsidR="004657BC" w:rsidRPr="00726B93">
        <w:rPr>
          <w:rFonts w:ascii="Arial" w:hAnsi="Arial" w:cs="Arial"/>
          <w:sz w:val="24"/>
          <w:szCs w:val="24"/>
        </w:rPr>
        <w:t>pectiva, y</w:t>
      </w:r>
    </w:p>
    <w:p w:rsidR="00071BDE" w:rsidRPr="00726B93" w:rsidRDefault="00071BDE" w:rsidP="00071BDE">
      <w:pPr>
        <w:numPr>
          <w:ilvl w:val="0"/>
          <w:numId w:val="1"/>
        </w:numPr>
        <w:spacing w:after="0" w:line="360" w:lineRule="auto"/>
        <w:contextualSpacing/>
        <w:jc w:val="both"/>
        <w:rPr>
          <w:rFonts w:ascii="Arial" w:hAnsi="Arial" w:cs="Arial"/>
          <w:sz w:val="24"/>
          <w:szCs w:val="24"/>
        </w:rPr>
      </w:pPr>
      <w:r w:rsidRPr="00726B93">
        <w:rPr>
          <w:rFonts w:ascii="Arial" w:hAnsi="Arial" w:cs="Arial"/>
          <w:b/>
          <w:sz w:val="24"/>
          <w:szCs w:val="24"/>
        </w:rPr>
        <w:t xml:space="preserve">Comisión competente: </w:t>
      </w:r>
      <w:r w:rsidRPr="00726B93">
        <w:rPr>
          <w:rFonts w:ascii="Arial" w:hAnsi="Arial" w:cs="Arial"/>
          <w:sz w:val="24"/>
          <w:szCs w:val="24"/>
        </w:rPr>
        <w:t>la Comisión Legislativa competente conforme a la legislación interna del Congreso, responsable de instrumentar el proceso de evaluación del desempeño y elaboración del dictamen con el proyecto de resolución correspondiente.</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3º. </w:t>
      </w:r>
      <w:r w:rsidRPr="00726B93">
        <w:rPr>
          <w:rFonts w:ascii="Arial" w:hAnsi="Arial" w:cs="Arial"/>
          <w:sz w:val="24"/>
          <w:szCs w:val="24"/>
        </w:rPr>
        <w:t xml:space="preserve">El Congreso en todo proceso de evaluación del desempeño atenderá enunciativamente los siguientes principios rectores con los alcances que a continuación se indica: </w:t>
      </w:r>
    </w:p>
    <w:p w:rsidR="00071BDE" w:rsidRPr="00726B93" w:rsidRDefault="00071BDE" w:rsidP="00071BDE">
      <w:pPr>
        <w:numPr>
          <w:ilvl w:val="0"/>
          <w:numId w:val="2"/>
        </w:numPr>
        <w:spacing w:after="0" w:line="360" w:lineRule="auto"/>
        <w:contextualSpacing/>
        <w:jc w:val="both"/>
        <w:rPr>
          <w:rFonts w:ascii="Arial" w:hAnsi="Arial" w:cs="Arial"/>
          <w:sz w:val="24"/>
          <w:szCs w:val="24"/>
        </w:rPr>
      </w:pPr>
      <w:r w:rsidRPr="00726B93">
        <w:rPr>
          <w:rFonts w:ascii="Arial" w:hAnsi="Arial" w:cs="Arial"/>
          <w:b/>
          <w:sz w:val="24"/>
          <w:szCs w:val="24"/>
        </w:rPr>
        <w:t xml:space="preserve">Capacitación permanente: </w:t>
      </w:r>
      <w:r w:rsidRPr="00726B93">
        <w:rPr>
          <w:rFonts w:ascii="Arial" w:hAnsi="Arial" w:cs="Arial"/>
          <w:sz w:val="24"/>
          <w:szCs w:val="24"/>
        </w:rPr>
        <w:t>interpretada como la constante actualización profesional en el área que rija las funciones de servidor público que tenga derecho a la ratificación</w:t>
      </w:r>
      <w:r w:rsidR="003D5F7E" w:rsidRPr="00726B93">
        <w:rPr>
          <w:rFonts w:ascii="Arial" w:hAnsi="Arial" w:cs="Arial"/>
          <w:sz w:val="24"/>
          <w:szCs w:val="24"/>
        </w:rPr>
        <w:t>,</w:t>
      </w:r>
      <w:r w:rsidRPr="00726B93">
        <w:rPr>
          <w:rFonts w:ascii="Arial" w:hAnsi="Arial" w:cs="Arial"/>
          <w:sz w:val="24"/>
          <w:szCs w:val="24"/>
        </w:rPr>
        <w:t xml:space="preserve"> de forma tal que se garantice la prest</w:t>
      </w:r>
      <w:r w:rsidR="004657BC" w:rsidRPr="00726B93">
        <w:rPr>
          <w:rFonts w:ascii="Arial" w:hAnsi="Arial" w:cs="Arial"/>
          <w:sz w:val="24"/>
          <w:szCs w:val="24"/>
        </w:rPr>
        <w:t>ación de un servicio de calidad;</w:t>
      </w:r>
    </w:p>
    <w:p w:rsidR="00071BDE" w:rsidRPr="00726B93" w:rsidRDefault="00071BDE" w:rsidP="00071BDE">
      <w:pPr>
        <w:numPr>
          <w:ilvl w:val="0"/>
          <w:numId w:val="2"/>
        </w:numPr>
        <w:spacing w:after="0" w:line="360" w:lineRule="auto"/>
        <w:contextualSpacing/>
        <w:jc w:val="both"/>
        <w:rPr>
          <w:rFonts w:ascii="Arial" w:hAnsi="Arial" w:cs="Arial"/>
          <w:sz w:val="24"/>
          <w:szCs w:val="24"/>
        </w:rPr>
      </w:pPr>
      <w:r w:rsidRPr="00726B93">
        <w:rPr>
          <w:rFonts w:ascii="Arial" w:hAnsi="Arial" w:cs="Arial"/>
          <w:b/>
          <w:sz w:val="24"/>
          <w:szCs w:val="24"/>
        </w:rPr>
        <w:t>Excelencia:</w:t>
      </w:r>
      <w:r w:rsidRPr="00726B93">
        <w:rPr>
          <w:rFonts w:ascii="Arial" w:hAnsi="Arial" w:cs="Arial"/>
          <w:sz w:val="24"/>
          <w:szCs w:val="24"/>
        </w:rPr>
        <w:t xml:space="preserve"> Desempeño del servicio público con una calidad superior que sobresale en mérito y que va más allá de lo ordinario o normalmente exigido para el ejercicio de su cargo, que se traduce en un servicio con relevante capacidad y aplicación;</w:t>
      </w:r>
    </w:p>
    <w:p w:rsidR="00071BDE" w:rsidRPr="00726B93" w:rsidRDefault="00071BDE" w:rsidP="00071BDE">
      <w:pPr>
        <w:numPr>
          <w:ilvl w:val="0"/>
          <w:numId w:val="2"/>
        </w:numPr>
        <w:spacing w:after="0" w:line="360" w:lineRule="auto"/>
        <w:contextualSpacing/>
        <w:jc w:val="both"/>
        <w:rPr>
          <w:rFonts w:ascii="Arial" w:hAnsi="Arial" w:cs="Arial"/>
          <w:sz w:val="24"/>
          <w:szCs w:val="24"/>
        </w:rPr>
      </w:pPr>
      <w:r w:rsidRPr="00726B93">
        <w:rPr>
          <w:rFonts w:ascii="Arial" w:hAnsi="Arial" w:cs="Arial"/>
          <w:b/>
          <w:sz w:val="24"/>
          <w:szCs w:val="24"/>
        </w:rPr>
        <w:t>Honestidad invulnerable:</w:t>
      </w:r>
      <w:r w:rsidRPr="00726B93">
        <w:rPr>
          <w:rFonts w:ascii="Arial" w:hAnsi="Arial" w:cs="Arial"/>
          <w:sz w:val="24"/>
          <w:szCs w:val="24"/>
        </w:rPr>
        <w:t xml:space="preserve"> Expresada como el actuar probo, recto y honrado;</w:t>
      </w:r>
    </w:p>
    <w:p w:rsidR="00071BDE" w:rsidRPr="00726B93" w:rsidRDefault="00071BDE" w:rsidP="00071BDE">
      <w:pPr>
        <w:numPr>
          <w:ilvl w:val="0"/>
          <w:numId w:val="2"/>
        </w:numPr>
        <w:shd w:val="clear" w:color="auto" w:fill="FFFFFF"/>
        <w:autoSpaceDE w:val="0"/>
        <w:autoSpaceDN w:val="0"/>
        <w:adjustRightInd w:val="0"/>
        <w:spacing w:after="0" w:line="360" w:lineRule="auto"/>
        <w:contextualSpacing/>
        <w:jc w:val="both"/>
        <w:rPr>
          <w:rFonts w:ascii="Arial" w:hAnsi="Arial" w:cs="Arial"/>
          <w:sz w:val="24"/>
          <w:szCs w:val="24"/>
        </w:rPr>
      </w:pPr>
      <w:r w:rsidRPr="00726B93">
        <w:rPr>
          <w:rFonts w:ascii="Arial" w:hAnsi="Arial" w:cs="Arial"/>
          <w:b/>
          <w:sz w:val="24"/>
          <w:szCs w:val="24"/>
        </w:rPr>
        <w:t>Imparcialidad:</w:t>
      </w:r>
      <w:r w:rsidRPr="00726B93">
        <w:rPr>
          <w:rFonts w:ascii="Arial" w:hAnsi="Arial" w:cs="Arial"/>
          <w:sz w:val="24"/>
          <w:szCs w:val="24"/>
        </w:rPr>
        <w:t xml:space="preserve"> Entendida como la no adhesión o preferencia a ninguna de las partes; la falta de designio anticipado o de prevención </w:t>
      </w:r>
      <w:r w:rsidRPr="00726B93">
        <w:rPr>
          <w:rFonts w:ascii="Arial" w:hAnsi="Arial" w:cs="Arial"/>
          <w:sz w:val="24"/>
          <w:szCs w:val="24"/>
        </w:rPr>
        <w:lastRenderedPageBreak/>
        <w:t>a favor o en contra de alguien o algo, que garantice proceder con rectitud;</w:t>
      </w:r>
    </w:p>
    <w:p w:rsidR="00071BDE" w:rsidRPr="00726B93" w:rsidRDefault="00071BDE" w:rsidP="00071BDE">
      <w:pPr>
        <w:numPr>
          <w:ilvl w:val="0"/>
          <w:numId w:val="2"/>
        </w:numPr>
        <w:autoSpaceDE w:val="0"/>
        <w:autoSpaceDN w:val="0"/>
        <w:adjustRightInd w:val="0"/>
        <w:spacing w:after="0" w:line="360" w:lineRule="auto"/>
        <w:contextualSpacing/>
        <w:jc w:val="both"/>
        <w:rPr>
          <w:rFonts w:ascii="Arial" w:hAnsi="Arial" w:cs="Arial"/>
          <w:sz w:val="24"/>
          <w:szCs w:val="24"/>
        </w:rPr>
      </w:pPr>
      <w:r w:rsidRPr="00726B93">
        <w:rPr>
          <w:rFonts w:ascii="Arial" w:hAnsi="Arial" w:cs="Arial"/>
          <w:b/>
          <w:sz w:val="24"/>
          <w:szCs w:val="24"/>
        </w:rPr>
        <w:t>Independencia:</w:t>
      </w:r>
      <w:r w:rsidRPr="00726B93">
        <w:rPr>
          <w:rFonts w:ascii="Arial" w:hAnsi="Arial" w:cs="Arial"/>
          <w:sz w:val="24"/>
          <w:szCs w:val="24"/>
        </w:rPr>
        <w:t xml:space="preserve"> Interpretada como la obligación de emitir sus actos o resoluciones conforme a convicciones sustentadas en la ley y en los principios de justicia ajenos a toda presión proveniente sea de otra</w:t>
      </w:r>
      <w:r w:rsidR="004657BC" w:rsidRPr="00726B93">
        <w:rPr>
          <w:rFonts w:ascii="Arial" w:hAnsi="Arial" w:cs="Arial"/>
          <w:sz w:val="24"/>
          <w:szCs w:val="24"/>
        </w:rPr>
        <w:t>s autoridades o de particulares;</w:t>
      </w:r>
    </w:p>
    <w:p w:rsidR="00071BDE" w:rsidRPr="00726B93" w:rsidRDefault="00071BDE" w:rsidP="00071BDE">
      <w:pPr>
        <w:numPr>
          <w:ilvl w:val="0"/>
          <w:numId w:val="2"/>
        </w:numPr>
        <w:autoSpaceDE w:val="0"/>
        <w:autoSpaceDN w:val="0"/>
        <w:adjustRightInd w:val="0"/>
        <w:spacing w:after="0" w:line="360" w:lineRule="auto"/>
        <w:contextualSpacing/>
        <w:jc w:val="both"/>
        <w:rPr>
          <w:rFonts w:ascii="Arial" w:hAnsi="Arial" w:cs="Arial"/>
          <w:sz w:val="24"/>
          <w:szCs w:val="24"/>
        </w:rPr>
      </w:pPr>
      <w:r w:rsidRPr="00726B93">
        <w:rPr>
          <w:rFonts w:ascii="Arial" w:hAnsi="Arial" w:cs="Arial"/>
          <w:b/>
          <w:sz w:val="24"/>
          <w:szCs w:val="24"/>
        </w:rPr>
        <w:t>Integralidad:</w:t>
      </w:r>
      <w:r w:rsidRPr="00726B93">
        <w:rPr>
          <w:rFonts w:ascii="Arial" w:hAnsi="Arial" w:cs="Arial"/>
          <w:sz w:val="24"/>
          <w:szCs w:val="24"/>
        </w:rPr>
        <w:t xml:space="preserve"> Consiste en que para determinar sobre la ratificación o no de un servidor público</w:t>
      </w:r>
      <w:r w:rsidR="003D5F7E" w:rsidRPr="00726B93">
        <w:rPr>
          <w:rFonts w:ascii="Arial" w:hAnsi="Arial" w:cs="Arial"/>
          <w:sz w:val="24"/>
          <w:szCs w:val="24"/>
        </w:rPr>
        <w:t>,</w:t>
      </w:r>
      <w:r w:rsidRPr="00726B93">
        <w:rPr>
          <w:rFonts w:ascii="Arial" w:hAnsi="Arial" w:cs="Arial"/>
          <w:sz w:val="24"/>
          <w:szCs w:val="24"/>
        </w:rPr>
        <w:t xml:space="preserve"> deberán analizarse y valorarse todos los años que comprende el cargo que ostenta; salvo los casos en que por alguna causa se le haya nombrado para concluir un periodo iniciado, en cuyo caso deberá evaluarse ún</w:t>
      </w:r>
      <w:r w:rsidR="004657BC" w:rsidRPr="00726B93">
        <w:rPr>
          <w:rFonts w:ascii="Arial" w:hAnsi="Arial" w:cs="Arial"/>
          <w:sz w:val="24"/>
          <w:szCs w:val="24"/>
        </w:rPr>
        <w:t>icamente el tiempo desempeñado;</w:t>
      </w:r>
    </w:p>
    <w:p w:rsidR="00071BDE" w:rsidRPr="00726B93" w:rsidRDefault="00071BDE" w:rsidP="00071BDE">
      <w:pPr>
        <w:numPr>
          <w:ilvl w:val="0"/>
          <w:numId w:val="2"/>
        </w:numPr>
        <w:autoSpaceDE w:val="0"/>
        <w:autoSpaceDN w:val="0"/>
        <w:adjustRightInd w:val="0"/>
        <w:spacing w:after="0" w:line="360" w:lineRule="auto"/>
        <w:contextualSpacing/>
        <w:jc w:val="both"/>
        <w:rPr>
          <w:rFonts w:ascii="Arial" w:hAnsi="Arial" w:cs="Arial"/>
          <w:b/>
          <w:bCs/>
          <w:sz w:val="24"/>
          <w:szCs w:val="24"/>
        </w:rPr>
      </w:pPr>
      <w:r w:rsidRPr="00726B93">
        <w:rPr>
          <w:rFonts w:ascii="Arial" w:hAnsi="Arial" w:cs="Arial"/>
          <w:b/>
          <w:sz w:val="24"/>
          <w:szCs w:val="24"/>
        </w:rPr>
        <w:t>Objetividad:</w:t>
      </w:r>
      <w:r w:rsidRPr="00726B93">
        <w:rPr>
          <w:rFonts w:ascii="Arial" w:hAnsi="Arial" w:cs="Arial"/>
          <w:sz w:val="24"/>
          <w:szCs w:val="24"/>
        </w:rPr>
        <w:t xml:space="preserve"> Traducida en una actitud analítica que se apoya en datos y situaciones reales, para concluir sobre hechos o conductas, con independencia de la propia manera de pensar o de sentir;</w:t>
      </w:r>
    </w:p>
    <w:p w:rsidR="00071BDE" w:rsidRPr="00726B93" w:rsidRDefault="00071BDE" w:rsidP="00071BDE">
      <w:pPr>
        <w:numPr>
          <w:ilvl w:val="0"/>
          <w:numId w:val="2"/>
        </w:numPr>
        <w:autoSpaceDE w:val="0"/>
        <w:autoSpaceDN w:val="0"/>
        <w:adjustRightInd w:val="0"/>
        <w:spacing w:after="0" w:line="360" w:lineRule="auto"/>
        <w:contextualSpacing/>
        <w:jc w:val="both"/>
        <w:rPr>
          <w:rFonts w:ascii="Arial" w:hAnsi="Arial" w:cs="Arial"/>
          <w:b/>
          <w:bCs/>
          <w:sz w:val="24"/>
          <w:szCs w:val="24"/>
        </w:rPr>
      </w:pPr>
      <w:r w:rsidRPr="00726B93">
        <w:rPr>
          <w:rFonts w:ascii="Arial" w:hAnsi="Arial" w:cs="Arial"/>
          <w:b/>
          <w:sz w:val="24"/>
          <w:szCs w:val="24"/>
        </w:rPr>
        <w:t>Diligencia:</w:t>
      </w:r>
      <w:r w:rsidRPr="00726B93">
        <w:rPr>
          <w:rFonts w:ascii="Arial" w:hAnsi="Arial" w:cs="Arial"/>
          <w:sz w:val="24"/>
          <w:szCs w:val="24"/>
        </w:rPr>
        <w:t xml:space="preserve"> Asumida como el deber que tiene el servidor público de conducirse en todos sus </w:t>
      </w:r>
      <w:r w:rsidR="004657BC" w:rsidRPr="00726B93">
        <w:rPr>
          <w:rFonts w:ascii="Arial" w:hAnsi="Arial" w:cs="Arial"/>
          <w:sz w:val="24"/>
          <w:szCs w:val="24"/>
        </w:rPr>
        <w:t>actos con eficiencia y eficacia, y</w:t>
      </w:r>
    </w:p>
    <w:p w:rsidR="00071BDE" w:rsidRPr="00726B93" w:rsidRDefault="00071BDE" w:rsidP="00071BDE">
      <w:pPr>
        <w:numPr>
          <w:ilvl w:val="0"/>
          <w:numId w:val="2"/>
        </w:numPr>
        <w:autoSpaceDE w:val="0"/>
        <w:autoSpaceDN w:val="0"/>
        <w:adjustRightInd w:val="0"/>
        <w:spacing w:after="0" w:line="360" w:lineRule="auto"/>
        <w:contextualSpacing/>
        <w:jc w:val="both"/>
        <w:rPr>
          <w:rFonts w:ascii="Arial" w:hAnsi="Arial" w:cs="Arial"/>
          <w:sz w:val="24"/>
          <w:szCs w:val="24"/>
        </w:rPr>
      </w:pPr>
      <w:r w:rsidRPr="00726B93">
        <w:rPr>
          <w:rFonts w:ascii="Arial" w:hAnsi="Arial" w:cs="Arial"/>
          <w:b/>
          <w:sz w:val="24"/>
          <w:szCs w:val="24"/>
        </w:rPr>
        <w:t>Lealtad:</w:t>
      </w:r>
      <w:r w:rsidRPr="00726B93">
        <w:rPr>
          <w:rFonts w:ascii="Arial" w:hAnsi="Arial" w:cs="Arial"/>
          <w:sz w:val="24"/>
          <w:szCs w:val="24"/>
        </w:rPr>
        <w:t xml:space="preserve"> Precisada como la entrega a la institución o ente público al que pertenezca, preservando y protegiendo los intereses públicos, independientemente de intereses diversos.</w:t>
      </w:r>
    </w:p>
    <w:p w:rsidR="00071BDE" w:rsidRPr="00726B93" w:rsidRDefault="00071BDE" w:rsidP="00071BDE">
      <w:pPr>
        <w:autoSpaceDE w:val="0"/>
        <w:autoSpaceDN w:val="0"/>
        <w:adjustRightInd w:val="0"/>
        <w:spacing w:after="0" w:line="360" w:lineRule="auto"/>
        <w:ind w:left="720"/>
        <w:contextualSpacing/>
        <w:jc w:val="both"/>
        <w:rPr>
          <w:rFonts w:ascii="Arial" w:hAnsi="Arial" w:cs="Arial"/>
          <w:sz w:val="24"/>
          <w:szCs w:val="24"/>
        </w:rPr>
      </w:pPr>
    </w:p>
    <w:p w:rsidR="00071BDE" w:rsidRPr="00726B93" w:rsidRDefault="00071BDE" w:rsidP="00071BDE">
      <w:pPr>
        <w:shd w:val="clear" w:color="auto" w:fill="FFFFFF"/>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4º. </w:t>
      </w:r>
      <w:r w:rsidRPr="00726B93">
        <w:rPr>
          <w:rFonts w:ascii="Arial" w:hAnsi="Arial" w:cs="Arial"/>
          <w:sz w:val="24"/>
          <w:szCs w:val="24"/>
        </w:rPr>
        <w:t>Para los efectos de la evaluación del desempeño, la interpretación de la presente ley corresponde a la Asamblea Legislativa, Comisión dictaminadora competente, y Presidencia de la Mesa Directiva.</w:t>
      </w:r>
    </w:p>
    <w:p w:rsidR="00071BDE" w:rsidRPr="00726B93" w:rsidRDefault="00071BDE" w:rsidP="00071BDE">
      <w:pPr>
        <w:shd w:val="clear" w:color="auto" w:fill="FFFFFF"/>
        <w:autoSpaceDE w:val="0"/>
        <w:autoSpaceDN w:val="0"/>
        <w:adjustRightInd w:val="0"/>
        <w:spacing w:after="0" w:line="360" w:lineRule="auto"/>
        <w:ind w:left="720"/>
        <w:contextualSpacing/>
        <w:jc w:val="both"/>
        <w:rPr>
          <w:rFonts w:ascii="Arial" w:hAnsi="Arial" w:cs="Arial"/>
          <w:sz w:val="24"/>
          <w:szCs w:val="24"/>
        </w:rPr>
      </w:pPr>
    </w:p>
    <w:p w:rsidR="00071BDE" w:rsidRPr="00726B93" w:rsidRDefault="00071BDE" w:rsidP="00071BDE">
      <w:pPr>
        <w:shd w:val="clear" w:color="auto" w:fill="FFFFFF"/>
        <w:spacing w:after="0" w:line="360" w:lineRule="auto"/>
        <w:contextualSpacing/>
        <w:jc w:val="both"/>
        <w:rPr>
          <w:rFonts w:ascii="Arial" w:hAnsi="Arial" w:cs="Arial"/>
          <w:b/>
          <w:sz w:val="24"/>
          <w:szCs w:val="24"/>
        </w:rPr>
      </w:pPr>
      <w:r w:rsidRPr="00726B93">
        <w:rPr>
          <w:rFonts w:ascii="Arial" w:hAnsi="Arial" w:cs="Arial"/>
          <w:b/>
          <w:sz w:val="24"/>
          <w:szCs w:val="24"/>
        </w:rPr>
        <w:t xml:space="preserve">Artículo 5º. </w:t>
      </w:r>
      <w:r w:rsidRPr="00726B93">
        <w:rPr>
          <w:rFonts w:ascii="Arial" w:hAnsi="Arial" w:cs="Arial"/>
          <w:sz w:val="24"/>
          <w:szCs w:val="24"/>
        </w:rPr>
        <w:t>En lo que resulte procedente se aplicará supletoria y complementariamente la legislación interna del Poder Legislativo.</w:t>
      </w:r>
    </w:p>
    <w:p w:rsidR="00071BDE" w:rsidRPr="00726B93" w:rsidRDefault="00071BDE" w:rsidP="00071BDE">
      <w:pPr>
        <w:spacing w:after="0" w:line="360" w:lineRule="auto"/>
        <w:contextualSpacing/>
        <w:jc w:val="center"/>
        <w:rPr>
          <w:rFonts w:ascii="Arial" w:hAnsi="Arial" w:cs="Arial"/>
          <w:b/>
          <w:sz w:val="24"/>
          <w:szCs w:val="24"/>
        </w:rPr>
      </w:pPr>
    </w:p>
    <w:p w:rsidR="00071BDE" w:rsidRPr="00726B93" w:rsidRDefault="00071BDE" w:rsidP="00726B93">
      <w:pPr>
        <w:pStyle w:val="Ttulo2"/>
        <w:jc w:val="center"/>
        <w:rPr>
          <w:rFonts w:ascii="Arial" w:hAnsi="Arial" w:cs="Arial"/>
          <w:color w:val="auto"/>
          <w:sz w:val="24"/>
          <w:szCs w:val="24"/>
        </w:rPr>
      </w:pPr>
      <w:bookmarkStart w:id="2" w:name="_Toc359411853"/>
      <w:r w:rsidRPr="00726B93">
        <w:rPr>
          <w:rFonts w:ascii="Arial" w:hAnsi="Arial" w:cs="Arial"/>
          <w:color w:val="auto"/>
          <w:sz w:val="24"/>
          <w:szCs w:val="24"/>
        </w:rPr>
        <w:t>Capítulo segundo</w:t>
      </w:r>
      <w:bookmarkEnd w:id="2"/>
    </w:p>
    <w:p w:rsidR="00071BDE" w:rsidRPr="00726B93" w:rsidRDefault="00071BDE" w:rsidP="00726B93">
      <w:pPr>
        <w:pStyle w:val="Ttulo2"/>
        <w:jc w:val="center"/>
        <w:rPr>
          <w:rFonts w:ascii="Arial" w:hAnsi="Arial" w:cs="Arial"/>
          <w:color w:val="auto"/>
          <w:sz w:val="24"/>
          <w:szCs w:val="24"/>
        </w:rPr>
      </w:pPr>
      <w:bookmarkStart w:id="3" w:name="_Toc359411854"/>
      <w:r w:rsidRPr="00726B93">
        <w:rPr>
          <w:rFonts w:ascii="Arial" w:hAnsi="Arial" w:cs="Arial"/>
          <w:color w:val="auto"/>
          <w:sz w:val="24"/>
          <w:szCs w:val="24"/>
        </w:rPr>
        <w:t>Del Expediente de Evaluación</w:t>
      </w:r>
      <w:bookmarkEnd w:id="3"/>
    </w:p>
    <w:p w:rsidR="00071BDE" w:rsidRPr="00726B93" w:rsidRDefault="00071BDE" w:rsidP="00071BDE">
      <w:pPr>
        <w:spacing w:after="0" w:line="360" w:lineRule="auto"/>
        <w:contextualSpacing/>
        <w:jc w:val="center"/>
        <w:rPr>
          <w:rFonts w:ascii="Arial" w:hAnsi="Arial" w:cs="Arial"/>
          <w:b/>
          <w:sz w:val="24"/>
          <w:szCs w:val="24"/>
        </w:rPr>
      </w:pPr>
    </w:p>
    <w:p w:rsidR="00071BDE"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lastRenderedPageBreak/>
        <w:t xml:space="preserve">Artículo 6º. </w:t>
      </w:r>
      <w:r w:rsidRPr="00726B93">
        <w:rPr>
          <w:rFonts w:ascii="Arial" w:hAnsi="Arial" w:cs="Arial"/>
          <w:sz w:val="24"/>
          <w:szCs w:val="24"/>
        </w:rPr>
        <w:t>Dentro de los quince días hábiles siguientes a la primera designación del servidor público de que se trate, el Congreso por conducto de la Presidencia de la Mesa Directiva, deberá abrir el expediente de evaluación del desempeño, quedando integradas al mismo las documentales que acrediten los datos curriculares que dieron origen al nombramiento.</w:t>
      </w:r>
    </w:p>
    <w:p w:rsidR="009C3C4E" w:rsidRPr="00726B93" w:rsidRDefault="009C3C4E" w:rsidP="00071BDE">
      <w:pPr>
        <w:spacing w:after="0" w:line="360" w:lineRule="auto"/>
        <w:contextualSpacing/>
        <w:jc w:val="both"/>
        <w:rPr>
          <w:rFonts w:ascii="Arial" w:hAnsi="Arial" w:cs="Arial"/>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7º.</w:t>
      </w:r>
      <w:r w:rsidRPr="00726B93">
        <w:rPr>
          <w:rFonts w:ascii="Arial" w:hAnsi="Arial" w:cs="Arial"/>
          <w:sz w:val="24"/>
          <w:szCs w:val="24"/>
        </w:rPr>
        <w:t xml:space="preserve"> Para los efectos del artículo anterior es deber del ente público de que se trate, por conducto de su titular o de quien lo presida, facilitar y remitir anualmente al Congreso la información que en términos de esta ley le sea requerida para el seguimiento de la debida integración del expediente de evaluación. </w:t>
      </w:r>
    </w:p>
    <w:p w:rsidR="00071BDE" w:rsidRPr="00726B93" w:rsidRDefault="00071BDE" w:rsidP="00071BDE">
      <w:pPr>
        <w:spacing w:after="0" w:line="360" w:lineRule="auto"/>
        <w:contextualSpacing/>
        <w:jc w:val="both"/>
        <w:rPr>
          <w:rFonts w:ascii="Arial" w:hAnsi="Arial" w:cs="Arial"/>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8º. </w:t>
      </w:r>
      <w:r w:rsidRPr="00726B93">
        <w:rPr>
          <w:rFonts w:ascii="Arial" w:hAnsi="Arial" w:cs="Arial"/>
          <w:sz w:val="24"/>
          <w:szCs w:val="24"/>
        </w:rPr>
        <w:t xml:space="preserve">Cuando se trate de la conclusión del primer periodo en el cargo del servidor público, la información deberá solicitarse al ente público dentro de los cuatro meses previos.   </w:t>
      </w:r>
    </w:p>
    <w:p w:rsidR="00071BDE" w:rsidRPr="00726B93" w:rsidRDefault="00071BDE" w:rsidP="00071BDE">
      <w:pPr>
        <w:spacing w:after="0" w:line="360" w:lineRule="auto"/>
        <w:contextualSpacing/>
        <w:jc w:val="both"/>
        <w:rPr>
          <w:rFonts w:ascii="Arial" w:hAnsi="Arial" w:cs="Arial"/>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9º.</w:t>
      </w:r>
      <w:r w:rsidRPr="00726B93">
        <w:rPr>
          <w:rFonts w:ascii="Arial" w:hAnsi="Arial" w:cs="Arial"/>
          <w:sz w:val="24"/>
          <w:szCs w:val="24"/>
        </w:rPr>
        <w:t xml:space="preserve"> La información a que se hace referencia en el artículo anterior, deberá ser entregada dentro de los diez días hábiles siguientes contados a partir del requerimiento del Presidente de la Mesa Directiva del Congreso. </w:t>
      </w:r>
    </w:p>
    <w:p w:rsidR="00071BDE" w:rsidRPr="00726B93" w:rsidRDefault="00071BDE" w:rsidP="00071BDE">
      <w:pPr>
        <w:spacing w:after="0" w:line="360" w:lineRule="auto"/>
        <w:contextualSpacing/>
        <w:jc w:val="both"/>
        <w:rPr>
          <w:rFonts w:ascii="Arial" w:hAnsi="Arial" w:cs="Arial"/>
          <w:sz w:val="24"/>
          <w:szCs w:val="24"/>
        </w:rPr>
      </w:pPr>
    </w:p>
    <w:p w:rsidR="00071BDE" w:rsidRPr="00726B93" w:rsidRDefault="00071BDE" w:rsidP="00726B93">
      <w:pPr>
        <w:pStyle w:val="Ttulo2"/>
        <w:jc w:val="center"/>
        <w:rPr>
          <w:rFonts w:ascii="Arial" w:hAnsi="Arial" w:cs="Arial"/>
          <w:color w:val="auto"/>
          <w:sz w:val="24"/>
          <w:szCs w:val="24"/>
        </w:rPr>
      </w:pPr>
      <w:bookmarkStart w:id="4" w:name="_Toc359411855"/>
      <w:r w:rsidRPr="00726B93">
        <w:rPr>
          <w:rFonts w:ascii="Arial" w:hAnsi="Arial" w:cs="Arial"/>
          <w:color w:val="auto"/>
          <w:sz w:val="24"/>
          <w:szCs w:val="24"/>
        </w:rPr>
        <w:t>Capítulo Tercero</w:t>
      </w:r>
      <w:bookmarkEnd w:id="4"/>
    </w:p>
    <w:p w:rsidR="00071BDE" w:rsidRPr="00726B93" w:rsidRDefault="00071BDE" w:rsidP="00726B93">
      <w:pPr>
        <w:pStyle w:val="Ttulo2"/>
        <w:jc w:val="center"/>
        <w:rPr>
          <w:rFonts w:ascii="Arial" w:hAnsi="Arial" w:cs="Arial"/>
          <w:color w:val="auto"/>
          <w:sz w:val="24"/>
          <w:szCs w:val="24"/>
        </w:rPr>
      </w:pPr>
      <w:bookmarkStart w:id="5" w:name="_Toc359411856"/>
      <w:r w:rsidRPr="00726B93">
        <w:rPr>
          <w:rFonts w:ascii="Arial" w:hAnsi="Arial" w:cs="Arial"/>
          <w:color w:val="auto"/>
          <w:sz w:val="24"/>
          <w:szCs w:val="24"/>
        </w:rPr>
        <w:t>De los Magistrados del Tribunal Superior de Justicia</w:t>
      </w:r>
      <w:bookmarkEnd w:id="5"/>
    </w:p>
    <w:p w:rsidR="00071BDE" w:rsidRPr="00726B93" w:rsidRDefault="00071BDE" w:rsidP="00071BDE">
      <w:pPr>
        <w:shd w:val="clear" w:color="auto" w:fill="FFFFFF"/>
        <w:spacing w:after="0" w:line="360" w:lineRule="auto"/>
        <w:contextualSpacing/>
        <w:jc w:val="center"/>
        <w:rPr>
          <w:rFonts w:ascii="Arial" w:hAnsi="Arial" w:cs="Arial"/>
          <w:b/>
          <w:sz w:val="24"/>
          <w:szCs w:val="24"/>
        </w:rPr>
      </w:pPr>
    </w:p>
    <w:p w:rsidR="00071BDE" w:rsidRPr="00726B93" w:rsidRDefault="00071BDE" w:rsidP="00071BDE">
      <w:pPr>
        <w:shd w:val="clear" w:color="auto" w:fill="FFFFFF"/>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10. </w:t>
      </w:r>
      <w:r w:rsidRPr="00726B93">
        <w:rPr>
          <w:rFonts w:ascii="Arial" w:hAnsi="Arial" w:cs="Arial"/>
          <w:sz w:val="24"/>
          <w:szCs w:val="24"/>
        </w:rPr>
        <w:t xml:space="preserve">En términos del artículo 81 de la Constitución, el Congreso por conducto del Presidente de la Mesa Directiva, 120 días previos a la conclusión del cargo del magistrado de que se trate, solicitará al Gobernador Constitucional del Estado, y al Consejo de la Judicatura del Poder Judicial su opinión, a efecto de obtener información y en su oportunidad determinar si el servidor público debe o no ser ratificado en el cargo. </w:t>
      </w:r>
    </w:p>
    <w:p w:rsidR="00071BDE" w:rsidRPr="00726B93" w:rsidRDefault="00071BDE" w:rsidP="00071BDE">
      <w:pPr>
        <w:shd w:val="clear" w:color="auto" w:fill="FFFFFF"/>
        <w:spacing w:after="0" w:line="360" w:lineRule="auto"/>
        <w:contextualSpacing/>
        <w:jc w:val="both"/>
        <w:rPr>
          <w:rFonts w:ascii="Arial" w:hAnsi="Arial" w:cs="Arial"/>
          <w:sz w:val="24"/>
          <w:szCs w:val="24"/>
        </w:rPr>
      </w:pPr>
    </w:p>
    <w:p w:rsidR="00071BDE" w:rsidRPr="00726B93" w:rsidRDefault="00071BDE" w:rsidP="00071BDE">
      <w:pPr>
        <w:shd w:val="clear" w:color="auto" w:fill="FFFFFF"/>
        <w:spacing w:after="0" w:line="360" w:lineRule="auto"/>
        <w:contextualSpacing/>
        <w:jc w:val="both"/>
        <w:rPr>
          <w:rFonts w:ascii="Arial" w:hAnsi="Arial" w:cs="Arial"/>
          <w:sz w:val="24"/>
          <w:szCs w:val="24"/>
        </w:rPr>
      </w:pPr>
      <w:r w:rsidRPr="00726B93">
        <w:rPr>
          <w:rFonts w:ascii="Arial" w:hAnsi="Arial" w:cs="Arial"/>
          <w:sz w:val="24"/>
          <w:szCs w:val="24"/>
        </w:rPr>
        <w:lastRenderedPageBreak/>
        <w:t>La opinión deberá remitirse al Congreso dentro de los diez días hábiles siguientes a la fecha en la que se formule la solicitud de opinión.</w:t>
      </w:r>
    </w:p>
    <w:p w:rsidR="00071BDE" w:rsidRPr="00726B93" w:rsidRDefault="00071BDE" w:rsidP="00071BDE">
      <w:pPr>
        <w:shd w:val="clear" w:color="auto" w:fill="FFFFFF"/>
        <w:spacing w:after="0" w:line="360" w:lineRule="auto"/>
        <w:contextualSpacing/>
        <w:jc w:val="both"/>
        <w:rPr>
          <w:rFonts w:ascii="Arial" w:hAnsi="Arial" w:cs="Arial"/>
          <w:sz w:val="24"/>
          <w:szCs w:val="24"/>
        </w:rPr>
      </w:pPr>
    </w:p>
    <w:p w:rsidR="00071BDE" w:rsidRPr="00726B93" w:rsidRDefault="00071BDE" w:rsidP="00071BDE">
      <w:pPr>
        <w:shd w:val="clear" w:color="auto" w:fill="FFFFFF"/>
        <w:spacing w:after="0" w:line="360" w:lineRule="auto"/>
        <w:contextualSpacing/>
        <w:jc w:val="both"/>
        <w:rPr>
          <w:rFonts w:ascii="Arial" w:hAnsi="Arial" w:cs="Arial"/>
          <w:sz w:val="24"/>
          <w:szCs w:val="24"/>
        </w:rPr>
      </w:pPr>
      <w:r w:rsidRPr="00726B93">
        <w:rPr>
          <w:rFonts w:ascii="Arial" w:hAnsi="Arial" w:cs="Arial"/>
          <w:b/>
          <w:sz w:val="24"/>
          <w:szCs w:val="24"/>
        </w:rPr>
        <w:t>Artículo 11.</w:t>
      </w:r>
      <w:r w:rsidRPr="00726B93">
        <w:rPr>
          <w:rFonts w:ascii="Arial" w:hAnsi="Arial" w:cs="Arial"/>
          <w:sz w:val="24"/>
          <w:szCs w:val="24"/>
        </w:rPr>
        <w:t xml:space="preserve"> Para los efectos de fundar su opinión</w:t>
      </w:r>
      <w:r w:rsidR="003D5F7E" w:rsidRPr="00726B93">
        <w:rPr>
          <w:rFonts w:ascii="Arial" w:hAnsi="Arial" w:cs="Arial"/>
          <w:sz w:val="24"/>
          <w:szCs w:val="24"/>
        </w:rPr>
        <w:t>,</w:t>
      </w:r>
      <w:r w:rsidRPr="00726B93">
        <w:rPr>
          <w:rFonts w:ascii="Arial" w:hAnsi="Arial" w:cs="Arial"/>
          <w:sz w:val="24"/>
          <w:szCs w:val="24"/>
        </w:rPr>
        <w:t xml:space="preserve"> el Gobernador del Estado podrá tener acceso al expediente de evaluación que se integre en el Congreso. </w:t>
      </w:r>
    </w:p>
    <w:p w:rsidR="00071BDE" w:rsidRPr="00726B93" w:rsidRDefault="00071BDE" w:rsidP="00071BDE">
      <w:pPr>
        <w:shd w:val="clear" w:color="auto" w:fill="FFFFFF"/>
        <w:spacing w:after="0" w:line="360" w:lineRule="auto"/>
        <w:contextualSpacing/>
        <w:jc w:val="both"/>
        <w:rPr>
          <w:rFonts w:ascii="Arial" w:hAnsi="Arial" w:cs="Arial"/>
          <w:sz w:val="24"/>
          <w:szCs w:val="24"/>
        </w:rPr>
      </w:pPr>
    </w:p>
    <w:p w:rsidR="00071BDE" w:rsidRPr="00726B93" w:rsidRDefault="00071BDE" w:rsidP="00071BDE">
      <w:pPr>
        <w:shd w:val="clear" w:color="auto" w:fill="FFFFFF"/>
        <w:spacing w:after="0" w:line="360" w:lineRule="auto"/>
        <w:contextualSpacing/>
        <w:jc w:val="both"/>
        <w:rPr>
          <w:rFonts w:ascii="Arial" w:hAnsi="Arial" w:cs="Arial"/>
          <w:sz w:val="24"/>
          <w:szCs w:val="24"/>
        </w:rPr>
      </w:pPr>
      <w:r w:rsidRPr="00726B93">
        <w:rPr>
          <w:rFonts w:ascii="Arial" w:hAnsi="Arial" w:cs="Arial"/>
          <w:b/>
          <w:sz w:val="24"/>
          <w:szCs w:val="24"/>
        </w:rPr>
        <w:t>Artículo 12.</w:t>
      </w:r>
      <w:r w:rsidRPr="00726B93">
        <w:rPr>
          <w:rFonts w:ascii="Arial" w:hAnsi="Arial" w:cs="Arial"/>
          <w:sz w:val="24"/>
          <w:szCs w:val="24"/>
        </w:rPr>
        <w:t xml:space="preserve"> Las opiniones deberán estar debidamente fundadas y motivadas; sin que las mismas vinculen la decisión que soberanamente y en definitiva emita el Congreso respecto de la ratificación o no del magistrado sujeto a evaluación. </w:t>
      </w:r>
    </w:p>
    <w:p w:rsidR="00071BDE" w:rsidRPr="00726B93" w:rsidRDefault="00071BDE" w:rsidP="00071BDE">
      <w:pPr>
        <w:shd w:val="clear" w:color="auto" w:fill="FFFFFF"/>
        <w:spacing w:after="0" w:line="360" w:lineRule="auto"/>
        <w:contextualSpacing/>
        <w:jc w:val="both"/>
        <w:rPr>
          <w:rFonts w:ascii="Arial" w:hAnsi="Arial" w:cs="Arial"/>
          <w:sz w:val="24"/>
          <w:szCs w:val="24"/>
        </w:rPr>
      </w:pPr>
    </w:p>
    <w:p w:rsidR="00071BDE" w:rsidRPr="00726B93" w:rsidRDefault="00071BDE" w:rsidP="00071BDE">
      <w:pPr>
        <w:shd w:val="clear" w:color="auto" w:fill="FFFFFF"/>
        <w:spacing w:after="0" w:line="360" w:lineRule="auto"/>
        <w:contextualSpacing/>
        <w:jc w:val="both"/>
        <w:rPr>
          <w:rFonts w:ascii="Arial" w:hAnsi="Arial" w:cs="Arial"/>
          <w:b/>
          <w:sz w:val="24"/>
          <w:szCs w:val="24"/>
        </w:rPr>
      </w:pPr>
      <w:r w:rsidRPr="00726B93">
        <w:rPr>
          <w:rFonts w:ascii="Arial" w:hAnsi="Arial" w:cs="Arial"/>
          <w:b/>
          <w:sz w:val="24"/>
          <w:szCs w:val="24"/>
        </w:rPr>
        <w:t>Artículo 13.</w:t>
      </w:r>
      <w:r w:rsidRPr="00726B93">
        <w:rPr>
          <w:rFonts w:ascii="Arial" w:hAnsi="Arial" w:cs="Arial"/>
          <w:sz w:val="24"/>
          <w:szCs w:val="24"/>
        </w:rPr>
        <w:t xml:space="preserve"> La Comisión Legislativa competente durante el proceso de evaluación, deberá atender los principios de la fracción tercera del artículo 116 de la Constitución Política de los Estados Unidos Mexicanos y su desarrollo jurisprudencial.</w:t>
      </w:r>
    </w:p>
    <w:p w:rsidR="00071BDE" w:rsidRPr="00726B93" w:rsidRDefault="00071BDE" w:rsidP="00071BDE">
      <w:pPr>
        <w:spacing w:after="0" w:line="360" w:lineRule="auto"/>
        <w:contextualSpacing/>
        <w:rPr>
          <w:rFonts w:ascii="Arial" w:hAnsi="Arial" w:cs="Arial"/>
          <w:b/>
          <w:sz w:val="24"/>
          <w:szCs w:val="24"/>
        </w:rPr>
      </w:pPr>
    </w:p>
    <w:p w:rsidR="00071BDE" w:rsidRPr="00726B93" w:rsidRDefault="00071BDE" w:rsidP="00726B93">
      <w:pPr>
        <w:pStyle w:val="Ttulo2"/>
        <w:jc w:val="center"/>
        <w:rPr>
          <w:rFonts w:ascii="Arial" w:hAnsi="Arial" w:cs="Arial"/>
          <w:color w:val="auto"/>
          <w:sz w:val="24"/>
          <w:szCs w:val="24"/>
        </w:rPr>
      </w:pPr>
      <w:bookmarkStart w:id="6" w:name="_Toc359411857"/>
      <w:r w:rsidRPr="00726B93">
        <w:rPr>
          <w:rFonts w:ascii="Arial" w:hAnsi="Arial" w:cs="Arial"/>
          <w:color w:val="auto"/>
          <w:sz w:val="24"/>
          <w:szCs w:val="24"/>
        </w:rPr>
        <w:t>Capítulo Cuarto</w:t>
      </w:r>
      <w:bookmarkEnd w:id="6"/>
    </w:p>
    <w:p w:rsidR="00071BDE" w:rsidRPr="00726B93" w:rsidRDefault="00071BDE" w:rsidP="00726B93">
      <w:pPr>
        <w:pStyle w:val="Ttulo2"/>
        <w:jc w:val="center"/>
        <w:rPr>
          <w:rFonts w:ascii="Arial" w:hAnsi="Arial" w:cs="Arial"/>
          <w:color w:val="auto"/>
          <w:sz w:val="24"/>
          <w:szCs w:val="24"/>
        </w:rPr>
      </w:pPr>
      <w:bookmarkStart w:id="7" w:name="_Toc359411858"/>
      <w:r w:rsidRPr="00726B93">
        <w:rPr>
          <w:rFonts w:ascii="Arial" w:hAnsi="Arial" w:cs="Arial"/>
          <w:color w:val="auto"/>
          <w:sz w:val="24"/>
          <w:szCs w:val="24"/>
        </w:rPr>
        <w:t>Procedimiento de evaluación</w:t>
      </w:r>
      <w:bookmarkEnd w:id="7"/>
    </w:p>
    <w:p w:rsidR="00071BDE" w:rsidRPr="00726B93" w:rsidRDefault="00071BDE" w:rsidP="00071BDE">
      <w:pPr>
        <w:spacing w:after="0" w:line="360" w:lineRule="auto"/>
        <w:contextualSpacing/>
        <w:jc w:val="center"/>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14.</w:t>
      </w:r>
      <w:r w:rsidRPr="00726B93">
        <w:rPr>
          <w:rFonts w:ascii="Arial" w:hAnsi="Arial" w:cs="Arial"/>
          <w:sz w:val="24"/>
          <w:szCs w:val="24"/>
        </w:rPr>
        <w:t xml:space="preserve"> El Congreso por conducto de la Comisión Legislativa competente, </w:t>
      </w:r>
      <w:r w:rsidRPr="00726B93">
        <w:rPr>
          <w:rFonts w:ascii="Arial" w:hAnsi="Arial" w:cs="Arial"/>
          <w:sz w:val="24"/>
          <w:szCs w:val="24"/>
          <w:shd w:val="clear" w:color="auto" w:fill="FFFFFF"/>
        </w:rPr>
        <w:t>dentro de los 8 días previos</w:t>
      </w:r>
      <w:r w:rsidRPr="00726B93">
        <w:rPr>
          <w:rFonts w:ascii="Arial" w:hAnsi="Arial" w:cs="Arial"/>
          <w:sz w:val="24"/>
          <w:szCs w:val="24"/>
        </w:rPr>
        <w:t xml:space="preserve"> a los tres meses de anticipación a la fecha de conclusión del encargo del servidor público, mediante acuerdo de trámite, deberá solicitarle que dentro de los tres días hábiles siguientes a la notificación, manifieste por escrito su interés o no de ser evaluado.   </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sz w:val="24"/>
          <w:szCs w:val="24"/>
        </w:rPr>
        <w:t xml:space="preserve">En caso de que dentro del plazo indicado en el párrafo anterior el servidor público no se pronuncie al respecto, se entenderá que no aspira a la ratificación. </w:t>
      </w:r>
    </w:p>
    <w:p w:rsidR="00071BDE" w:rsidRPr="00726B93" w:rsidRDefault="00071BDE" w:rsidP="00071BDE">
      <w:pPr>
        <w:spacing w:after="0" w:line="360" w:lineRule="auto"/>
        <w:contextualSpacing/>
        <w:jc w:val="both"/>
        <w:rPr>
          <w:rFonts w:ascii="Arial" w:hAnsi="Arial" w:cs="Arial"/>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lastRenderedPageBreak/>
        <w:t>Artículo 15.</w:t>
      </w:r>
      <w:r w:rsidRPr="00726B93">
        <w:rPr>
          <w:rFonts w:ascii="Arial" w:hAnsi="Arial" w:cs="Arial"/>
          <w:sz w:val="24"/>
          <w:szCs w:val="24"/>
        </w:rPr>
        <w:t xml:space="preserve"> La falta de respuesta, interés o negativa del servidor público de ser evaluado para una eventual ratificación, deberá de ser dictaminada por la Comisión Legislativa competente y someter a consideración del pleno del Congreso la resolución respectiva para los efectos legales conducentes, misma que deberá publicarse en el Periódico Oficial, Órgano del Gobierno del Estado de Nayarit. </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b/>
          <w:sz w:val="24"/>
          <w:szCs w:val="24"/>
        </w:rPr>
      </w:pPr>
      <w:r w:rsidRPr="00726B93">
        <w:rPr>
          <w:rFonts w:ascii="Arial" w:hAnsi="Arial" w:cs="Arial"/>
          <w:b/>
          <w:sz w:val="24"/>
          <w:szCs w:val="24"/>
        </w:rPr>
        <w:t xml:space="preserve">Artículo 16. </w:t>
      </w:r>
      <w:r w:rsidRPr="00726B93">
        <w:rPr>
          <w:rFonts w:ascii="Arial" w:hAnsi="Arial" w:cs="Arial"/>
          <w:sz w:val="24"/>
          <w:szCs w:val="24"/>
        </w:rPr>
        <w:t>De actualizarse el supuesto del artículo anterior, el Congreso deberá realizar los trámites legales conducentes para designar a quien deba cubrir la vacante que en su momento se genere.</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17. </w:t>
      </w:r>
      <w:r w:rsidRPr="00726B93">
        <w:rPr>
          <w:rFonts w:ascii="Arial" w:hAnsi="Arial" w:cs="Arial"/>
          <w:sz w:val="24"/>
          <w:szCs w:val="24"/>
        </w:rPr>
        <w:t xml:space="preserve">En el supuesto de que el servidor público aspire a la ratificación en el cargo, el Congreso previa evaluación del desempeño, deberá pronunciarse al respecto a más tardar quince días naturales antes de la conclusión del encargo, salvo en la hipótesis de magistrados del Tribunal Superior de Justicia del Estado en cuyo caso se deberá resolver a más tardar treinta días antes de que fenezca el periodo respectivo. De no resolver en el término previsto sin causa justificada, se entenderá que emite dictamen de ratificación. </w:t>
      </w:r>
    </w:p>
    <w:p w:rsidR="00071BDE" w:rsidRPr="00726B93" w:rsidRDefault="00071BDE" w:rsidP="00071BDE">
      <w:pPr>
        <w:spacing w:after="0" w:line="360" w:lineRule="auto"/>
        <w:contextualSpacing/>
        <w:jc w:val="both"/>
        <w:rPr>
          <w:rFonts w:ascii="Arial" w:hAnsi="Arial" w:cs="Arial"/>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sz w:val="24"/>
          <w:szCs w:val="24"/>
        </w:rPr>
        <w:t>La manifestación expresa del servidor público de aspirar a la ratificación, propiciará que la Comisión competente emita el Acuerdo de Trámite que establezca el inicio del procedimiento de evaluación, mismo que concluye con la con la votación que del dictamen con proyecto de decreto correspondiente realice la Asamblea Legislativa.</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18. </w:t>
      </w:r>
      <w:r w:rsidRPr="00726B93">
        <w:rPr>
          <w:rFonts w:ascii="Arial" w:hAnsi="Arial" w:cs="Arial"/>
          <w:sz w:val="24"/>
          <w:szCs w:val="24"/>
        </w:rPr>
        <w:t>El Acuerdo de Trámite deberá publicarse en la Gaceta Parlamentaria del Congreso y en el Periódico Oficial, Órgano del Gobierno del Estado y deberá contener enunciativamente lo siguiente:</w:t>
      </w:r>
    </w:p>
    <w:p w:rsidR="00071BDE" w:rsidRPr="00726B93" w:rsidRDefault="00071BDE" w:rsidP="00071BDE">
      <w:pPr>
        <w:numPr>
          <w:ilvl w:val="0"/>
          <w:numId w:val="3"/>
        </w:numPr>
        <w:spacing w:after="0" w:line="360" w:lineRule="auto"/>
        <w:contextualSpacing/>
        <w:jc w:val="both"/>
        <w:rPr>
          <w:rFonts w:ascii="Arial" w:hAnsi="Arial" w:cs="Arial"/>
          <w:sz w:val="24"/>
          <w:szCs w:val="24"/>
        </w:rPr>
      </w:pPr>
      <w:r w:rsidRPr="00726B93">
        <w:rPr>
          <w:rFonts w:ascii="Arial" w:hAnsi="Arial" w:cs="Arial"/>
          <w:sz w:val="24"/>
          <w:szCs w:val="24"/>
        </w:rPr>
        <w:t>Fecha para la celebración de la entrevista entre el evaluado y los integrantes de la Comisión competente, en donde podrán participar los diputa</w:t>
      </w:r>
      <w:r w:rsidR="004657BC" w:rsidRPr="00726B93">
        <w:rPr>
          <w:rFonts w:ascii="Arial" w:hAnsi="Arial" w:cs="Arial"/>
          <w:sz w:val="24"/>
          <w:szCs w:val="24"/>
        </w:rPr>
        <w:t>dos que en su caso se acrediten;</w:t>
      </w:r>
    </w:p>
    <w:p w:rsidR="00071BDE" w:rsidRPr="00726B93" w:rsidRDefault="00071BDE" w:rsidP="00071BDE">
      <w:pPr>
        <w:numPr>
          <w:ilvl w:val="0"/>
          <w:numId w:val="3"/>
        </w:numPr>
        <w:spacing w:after="0" w:line="360" w:lineRule="auto"/>
        <w:contextualSpacing/>
        <w:jc w:val="both"/>
        <w:rPr>
          <w:rFonts w:ascii="Arial" w:hAnsi="Arial" w:cs="Arial"/>
          <w:sz w:val="24"/>
          <w:szCs w:val="24"/>
        </w:rPr>
      </w:pPr>
      <w:r w:rsidRPr="00726B93">
        <w:rPr>
          <w:rFonts w:ascii="Arial" w:hAnsi="Arial" w:cs="Arial"/>
          <w:sz w:val="24"/>
          <w:szCs w:val="24"/>
        </w:rPr>
        <w:lastRenderedPageBreak/>
        <w:t>La potestad para solicitar opinión a las asociaciones de profesionales e instituciones de educación de nivel superior en el estado</w:t>
      </w:r>
      <w:r w:rsidR="003D5F7E" w:rsidRPr="00726B93">
        <w:rPr>
          <w:rFonts w:ascii="Arial" w:hAnsi="Arial" w:cs="Arial"/>
          <w:sz w:val="24"/>
          <w:szCs w:val="24"/>
        </w:rPr>
        <w:t>,</w:t>
      </w:r>
      <w:r w:rsidRPr="00726B93">
        <w:rPr>
          <w:rFonts w:ascii="Arial" w:hAnsi="Arial" w:cs="Arial"/>
          <w:sz w:val="24"/>
          <w:szCs w:val="24"/>
        </w:rPr>
        <w:t xml:space="preserve"> respecto al desempeño en el</w:t>
      </w:r>
      <w:r w:rsidR="004657BC" w:rsidRPr="00726B93">
        <w:rPr>
          <w:rFonts w:ascii="Arial" w:hAnsi="Arial" w:cs="Arial"/>
          <w:sz w:val="24"/>
          <w:szCs w:val="24"/>
        </w:rPr>
        <w:t xml:space="preserve"> servicio público del evaluado;</w:t>
      </w:r>
    </w:p>
    <w:p w:rsidR="00071BDE" w:rsidRPr="00726B93" w:rsidRDefault="00071BDE" w:rsidP="00071BDE">
      <w:pPr>
        <w:numPr>
          <w:ilvl w:val="0"/>
          <w:numId w:val="3"/>
        </w:numPr>
        <w:spacing w:after="0" w:line="360" w:lineRule="auto"/>
        <w:contextualSpacing/>
        <w:jc w:val="both"/>
        <w:rPr>
          <w:rFonts w:ascii="Arial" w:hAnsi="Arial" w:cs="Arial"/>
          <w:sz w:val="24"/>
          <w:szCs w:val="24"/>
        </w:rPr>
      </w:pPr>
      <w:r w:rsidRPr="00726B93">
        <w:rPr>
          <w:rFonts w:ascii="Arial" w:hAnsi="Arial" w:cs="Arial"/>
          <w:sz w:val="24"/>
          <w:szCs w:val="24"/>
        </w:rPr>
        <w:t>Atribución de pedir información a cualquier institución pública respecto de si el evaluado tiene en su contra alguna denuncia, demanda, queja, o irregularidad detectada en su actuar como servidor público o al</w:t>
      </w:r>
      <w:r w:rsidR="004657BC" w:rsidRPr="00726B93">
        <w:rPr>
          <w:rFonts w:ascii="Arial" w:hAnsi="Arial" w:cs="Arial"/>
          <w:sz w:val="24"/>
          <w:szCs w:val="24"/>
        </w:rPr>
        <w:t>gún tipo de juicio en su contra, y</w:t>
      </w:r>
    </w:p>
    <w:p w:rsidR="00071BDE" w:rsidRPr="00726B93" w:rsidRDefault="00071BDE" w:rsidP="00071BDE">
      <w:pPr>
        <w:numPr>
          <w:ilvl w:val="0"/>
          <w:numId w:val="3"/>
        </w:numPr>
        <w:spacing w:after="0" w:line="360" w:lineRule="auto"/>
        <w:contextualSpacing/>
        <w:jc w:val="both"/>
        <w:rPr>
          <w:rFonts w:ascii="Arial" w:hAnsi="Arial" w:cs="Arial"/>
          <w:sz w:val="24"/>
          <w:szCs w:val="24"/>
        </w:rPr>
      </w:pPr>
      <w:r w:rsidRPr="00726B93">
        <w:rPr>
          <w:rFonts w:ascii="Arial" w:hAnsi="Arial" w:cs="Arial"/>
          <w:sz w:val="24"/>
          <w:szCs w:val="24"/>
        </w:rPr>
        <w:t>La potestad de establecer los indicadores conducentes que permitan generar mayores elementos de convicción para evaluar objetivamente el desempeño público del evaluado.</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19.</w:t>
      </w:r>
      <w:r w:rsidRPr="00726B93">
        <w:rPr>
          <w:rFonts w:ascii="Arial" w:hAnsi="Arial" w:cs="Arial"/>
          <w:sz w:val="24"/>
          <w:szCs w:val="24"/>
        </w:rPr>
        <w:t xml:space="preserve"> La Comisión competente tendrá facultad para desahogar todas las diligencias necesarias que permitan realizar una evaluación objetiva y completa.</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20.</w:t>
      </w:r>
      <w:r w:rsidRPr="00726B93">
        <w:rPr>
          <w:rFonts w:ascii="Arial" w:hAnsi="Arial" w:cs="Arial"/>
          <w:sz w:val="24"/>
          <w:szCs w:val="24"/>
        </w:rPr>
        <w:t xml:space="preserve"> La resolución del Congreso deberá publicarse en el Periódico Oficial, Órgano del Gobierno del Estado y notificarse personalmente al evaluado y al ente público al que pertenezca</w:t>
      </w:r>
      <w:r w:rsidR="003D5F7E" w:rsidRPr="00726B93">
        <w:rPr>
          <w:rFonts w:ascii="Arial" w:hAnsi="Arial" w:cs="Arial"/>
          <w:sz w:val="24"/>
          <w:szCs w:val="24"/>
        </w:rPr>
        <w:t>,</w:t>
      </w:r>
      <w:r w:rsidRPr="00726B93">
        <w:rPr>
          <w:rFonts w:ascii="Arial" w:hAnsi="Arial" w:cs="Arial"/>
          <w:sz w:val="24"/>
          <w:szCs w:val="24"/>
        </w:rPr>
        <w:t xml:space="preserve"> por conducto de su titular o de quien lo presida. </w:t>
      </w:r>
    </w:p>
    <w:p w:rsidR="00071BDE" w:rsidRPr="00726B93" w:rsidRDefault="00071BDE" w:rsidP="00726B93">
      <w:pPr>
        <w:pStyle w:val="Ttulo2"/>
        <w:jc w:val="center"/>
        <w:rPr>
          <w:rFonts w:ascii="Arial" w:hAnsi="Arial" w:cs="Arial"/>
          <w:color w:val="auto"/>
          <w:sz w:val="24"/>
          <w:szCs w:val="24"/>
        </w:rPr>
      </w:pPr>
      <w:bookmarkStart w:id="8" w:name="_Toc359411859"/>
      <w:r w:rsidRPr="00726B93">
        <w:rPr>
          <w:rFonts w:ascii="Arial" w:hAnsi="Arial" w:cs="Arial"/>
          <w:color w:val="auto"/>
          <w:sz w:val="24"/>
          <w:szCs w:val="24"/>
        </w:rPr>
        <w:t>Transitorios</w:t>
      </w:r>
      <w:bookmarkEnd w:id="8"/>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 xml:space="preserve">Artículo Primero. </w:t>
      </w:r>
      <w:r w:rsidRPr="00726B93">
        <w:rPr>
          <w:rFonts w:ascii="Arial" w:hAnsi="Arial" w:cs="Arial"/>
          <w:sz w:val="24"/>
          <w:szCs w:val="24"/>
        </w:rPr>
        <w:t xml:space="preserve">La presente ley entrará en vigor al día siguiente de su publicación en el Periódico Oficial, Órgano del Gobierno del Estado de Nayarit. </w:t>
      </w:r>
    </w:p>
    <w:p w:rsidR="00071BDE" w:rsidRPr="00726B93" w:rsidRDefault="00071BDE" w:rsidP="00071BDE">
      <w:pPr>
        <w:spacing w:after="0" w:line="360" w:lineRule="auto"/>
        <w:contextualSpacing/>
        <w:jc w:val="both"/>
        <w:rPr>
          <w:rFonts w:ascii="Arial" w:hAnsi="Arial" w:cs="Arial"/>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Segundo.</w:t>
      </w:r>
      <w:r w:rsidRPr="00726B93">
        <w:rPr>
          <w:rFonts w:ascii="Arial" w:hAnsi="Arial" w:cs="Arial"/>
          <w:sz w:val="24"/>
          <w:szCs w:val="24"/>
        </w:rPr>
        <w:t xml:space="preserve"> Dentro de los 30 días posteriores a la entrada en vigor de la presente ley, el Congreso por conducto de la Presidencia de la Mesa Directiva, requerirá a los entes públicos correspondientes, la información necesaria para abrir e integrar el expediente de evaluación de los servidores públicos que se coloquen en los supuestos normativos del presente ordenamiento.</w:t>
      </w:r>
    </w:p>
    <w:p w:rsidR="00071BDE" w:rsidRPr="00726B93" w:rsidRDefault="00071BDE" w:rsidP="00071BDE">
      <w:pPr>
        <w:spacing w:after="0" w:line="360" w:lineRule="auto"/>
        <w:contextualSpacing/>
        <w:jc w:val="both"/>
        <w:rPr>
          <w:rFonts w:ascii="Arial" w:hAnsi="Arial" w:cs="Arial"/>
          <w:b/>
          <w:sz w:val="24"/>
          <w:szCs w:val="24"/>
        </w:rPr>
      </w:pPr>
    </w:p>
    <w:p w:rsidR="00071BDE" w:rsidRPr="00726B93" w:rsidRDefault="00071BDE" w:rsidP="00071BDE">
      <w:pPr>
        <w:spacing w:after="0" w:line="360" w:lineRule="auto"/>
        <w:contextualSpacing/>
        <w:jc w:val="both"/>
        <w:rPr>
          <w:rFonts w:ascii="Arial" w:hAnsi="Arial" w:cs="Arial"/>
          <w:sz w:val="24"/>
          <w:szCs w:val="24"/>
        </w:rPr>
      </w:pPr>
      <w:r w:rsidRPr="00726B93">
        <w:rPr>
          <w:rFonts w:ascii="Arial" w:hAnsi="Arial" w:cs="Arial"/>
          <w:b/>
          <w:sz w:val="24"/>
          <w:szCs w:val="24"/>
        </w:rPr>
        <w:t>Artículo Tercero.-</w:t>
      </w:r>
      <w:r w:rsidRPr="00726B93">
        <w:rPr>
          <w:rFonts w:ascii="Arial" w:hAnsi="Arial" w:cs="Arial"/>
          <w:sz w:val="24"/>
          <w:szCs w:val="24"/>
        </w:rPr>
        <w:t xml:space="preserve"> La información a la que se refiere el artículo que precede, deberá ser entregada en un plazo que no exceda a los 15 días hábiles contados a partir de la notificación. </w:t>
      </w:r>
    </w:p>
    <w:p w:rsidR="00071BDE" w:rsidRPr="00726B93" w:rsidRDefault="00071BDE" w:rsidP="00071BDE">
      <w:pPr>
        <w:spacing w:after="0" w:line="240" w:lineRule="auto"/>
        <w:contextualSpacing/>
        <w:jc w:val="both"/>
        <w:rPr>
          <w:rFonts w:ascii="Arial" w:hAnsi="Arial" w:cs="Arial"/>
          <w:sz w:val="24"/>
          <w:szCs w:val="24"/>
          <w:lang w:val="es-MX"/>
        </w:rPr>
      </w:pPr>
    </w:p>
    <w:p w:rsidR="00071BDE" w:rsidRPr="00726B93" w:rsidRDefault="00071BDE" w:rsidP="00071BDE">
      <w:pPr>
        <w:jc w:val="both"/>
        <w:rPr>
          <w:rFonts w:ascii="Arial" w:hAnsi="Arial" w:cs="Arial"/>
          <w:sz w:val="24"/>
          <w:szCs w:val="24"/>
        </w:rPr>
      </w:pPr>
      <w:r w:rsidRPr="00726B93">
        <w:rPr>
          <w:rFonts w:ascii="Arial" w:hAnsi="Arial" w:cs="Arial"/>
          <w:b/>
          <w:sz w:val="24"/>
          <w:szCs w:val="24"/>
        </w:rPr>
        <w:t>D A D O</w:t>
      </w:r>
      <w:r w:rsidRPr="00726B93">
        <w:rPr>
          <w:rFonts w:ascii="Arial" w:hAnsi="Arial" w:cs="Arial"/>
          <w:sz w:val="24"/>
          <w:szCs w:val="24"/>
        </w:rPr>
        <w:t xml:space="preserve"> en la Sala de Sesiones “Lic. Benito Juárez García” recinto oficial del Honorable Congreso del Estado Libre y Soberano de Nayarit, en Tepic, su Capital, a los trece días del mes de diciembre del año dos mil doce.</w:t>
      </w:r>
    </w:p>
    <w:p w:rsidR="00071BDE" w:rsidRPr="00726B93" w:rsidRDefault="00071BDE" w:rsidP="00071BDE">
      <w:pPr>
        <w:spacing w:after="0" w:line="240" w:lineRule="auto"/>
        <w:jc w:val="both"/>
        <w:rPr>
          <w:rFonts w:ascii="Arial" w:hAnsi="Arial" w:cs="Arial"/>
          <w:sz w:val="24"/>
          <w:szCs w:val="24"/>
        </w:rPr>
      </w:pPr>
    </w:p>
    <w:p w:rsidR="00071BDE" w:rsidRPr="00726B93" w:rsidRDefault="00071BDE" w:rsidP="008E7A9F">
      <w:pPr>
        <w:spacing w:after="0" w:line="240" w:lineRule="auto"/>
        <w:ind w:right="-2"/>
        <w:jc w:val="both"/>
        <w:rPr>
          <w:rFonts w:ascii="Arial" w:hAnsi="Arial" w:cs="Arial"/>
          <w:b/>
          <w:sz w:val="24"/>
          <w:szCs w:val="24"/>
        </w:rPr>
      </w:pPr>
      <w:proofErr w:type="spellStart"/>
      <w:r w:rsidRPr="00726B93">
        <w:rPr>
          <w:rFonts w:ascii="Arial" w:hAnsi="Arial" w:cs="Arial"/>
          <w:b/>
          <w:sz w:val="24"/>
          <w:szCs w:val="24"/>
        </w:rPr>
        <w:t>Dip</w:t>
      </w:r>
      <w:proofErr w:type="spellEnd"/>
      <w:r w:rsidRPr="00726B93">
        <w:rPr>
          <w:rFonts w:ascii="Arial" w:hAnsi="Arial" w:cs="Arial"/>
          <w:b/>
          <w:sz w:val="24"/>
          <w:szCs w:val="24"/>
        </w:rPr>
        <w:t>. Armando García Jiménez</w:t>
      </w:r>
      <w:r w:rsidR="008E7A9F" w:rsidRPr="00726B93">
        <w:rPr>
          <w:rFonts w:ascii="Arial" w:hAnsi="Arial" w:cs="Arial"/>
          <w:sz w:val="24"/>
          <w:szCs w:val="24"/>
        </w:rPr>
        <w:t xml:space="preserve">, </w:t>
      </w:r>
      <w:r w:rsidRPr="00726B93">
        <w:rPr>
          <w:rFonts w:ascii="Arial" w:hAnsi="Arial" w:cs="Arial"/>
          <w:sz w:val="24"/>
          <w:szCs w:val="24"/>
        </w:rPr>
        <w:t>Presidente</w:t>
      </w:r>
      <w:r w:rsidR="008E7A9F" w:rsidRPr="00726B93">
        <w:rPr>
          <w:rFonts w:ascii="Arial" w:hAnsi="Arial" w:cs="Arial"/>
          <w:sz w:val="24"/>
          <w:szCs w:val="24"/>
        </w:rPr>
        <w:t xml:space="preserve">.- </w:t>
      </w:r>
      <w:r w:rsidR="008E7A9F" w:rsidRPr="00726B93">
        <w:rPr>
          <w:rFonts w:ascii="Arial" w:hAnsi="Arial" w:cs="Arial"/>
          <w:i/>
          <w:sz w:val="24"/>
          <w:szCs w:val="24"/>
        </w:rPr>
        <w:t>Rúbrica</w:t>
      </w:r>
      <w:r w:rsidR="008E7A9F" w:rsidRPr="00726B93">
        <w:rPr>
          <w:rFonts w:ascii="Arial" w:hAnsi="Arial" w:cs="Arial"/>
          <w:sz w:val="24"/>
          <w:szCs w:val="24"/>
        </w:rPr>
        <w:t>.-</w:t>
      </w:r>
      <w:r w:rsidR="008E7A9F" w:rsidRPr="00726B93">
        <w:rPr>
          <w:rFonts w:ascii="Arial" w:hAnsi="Arial" w:cs="Arial"/>
          <w:b/>
          <w:sz w:val="24"/>
          <w:szCs w:val="24"/>
        </w:rPr>
        <w:t xml:space="preserve"> </w:t>
      </w:r>
      <w:proofErr w:type="spellStart"/>
      <w:r w:rsidRPr="00726B93">
        <w:rPr>
          <w:rFonts w:ascii="Arial" w:hAnsi="Arial" w:cs="Arial"/>
          <w:b/>
          <w:sz w:val="24"/>
          <w:szCs w:val="24"/>
        </w:rPr>
        <w:t>Dip</w:t>
      </w:r>
      <w:proofErr w:type="spellEnd"/>
      <w:r w:rsidRPr="00726B93">
        <w:rPr>
          <w:rFonts w:ascii="Arial" w:hAnsi="Arial" w:cs="Arial"/>
          <w:b/>
          <w:sz w:val="24"/>
          <w:szCs w:val="24"/>
        </w:rPr>
        <w:t>. Fátima del Sol Gómez Montero</w:t>
      </w:r>
      <w:r w:rsidR="008E7A9F" w:rsidRPr="00726B93">
        <w:rPr>
          <w:rFonts w:ascii="Arial" w:hAnsi="Arial" w:cs="Arial"/>
          <w:sz w:val="24"/>
          <w:szCs w:val="24"/>
        </w:rPr>
        <w:t xml:space="preserve">, Secretaria.- </w:t>
      </w:r>
      <w:r w:rsidR="008E7A9F" w:rsidRPr="00726B93">
        <w:rPr>
          <w:rFonts w:ascii="Arial" w:hAnsi="Arial" w:cs="Arial"/>
          <w:i/>
          <w:sz w:val="24"/>
          <w:szCs w:val="24"/>
        </w:rPr>
        <w:t>Rúbrica</w:t>
      </w:r>
      <w:r w:rsidR="008E7A9F" w:rsidRPr="00726B93">
        <w:rPr>
          <w:rFonts w:ascii="Arial" w:hAnsi="Arial" w:cs="Arial"/>
          <w:sz w:val="24"/>
          <w:szCs w:val="24"/>
        </w:rPr>
        <w:t>.-</w:t>
      </w:r>
      <w:r w:rsidRPr="00726B93">
        <w:rPr>
          <w:rFonts w:ascii="Arial" w:hAnsi="Arial" w:cs="Arial"/>
          <w:sz w:val="24"/>
          <w:szCs w:val="24"/>
        </w:rPr>
        <w:t xml:space="preserve">   </w:t>
      </w:r>
      <w:proofErr w:type="spellStart"/>
      <w:r w:rsidRPr="00726B93">
        <w:rPr>
          <w:rFonts w:ascii="Arial" w:hAnsi="Arial" w:cs="Arial"/>
          <w:b/>
          <w:sz w:val="24"/>
          <w:szCs w:val="24"/>
        </w:rPr>
        <w:t>Dip</w:t>
      </w:r>
      <w:proofErr w:type="spellEnd"/>
      <w:r w:rsidRPr="00726B93">
        <w:rPr>
          <w:rFonts w:ascii="Arial" w:hAnsi="Arial" w:cs="Arial"/>
          <w:b/>
          <w:sz w:val="24"/>
          <w:szCs w:val="24"/>
        </w:rPr>
        <w:t>. María Dolores Porras Domínguez</w:t>
      </w:r>
      <w:r w:rsidR="008E7A9F" w:rsidRPr="00726B93">
        <w:rPr>
          <w:rFonts w:ascii="Arial" w:hAnsi="Arial" w:cs="Arial"/>
          <w:sz w:val="24"/>
          <w:szCs w:val="24"/>
        </w:rPr>
        <w:t xml:space="preserve">, </w:t>
      </w:r>
      <w:r w:rsidRPr="00726B93">
        <w:rPr>
          <w:rFonts w:ascii="Arial" w:hAnsi="Arial" w:cs="Arial"/>
          <w:b/>
          <w:sz w:val="24"/>
          <w:szCs w:val="24"/>
        </w:rPr>
        <w:t xml:space="preserve"> </w:t>
      </w:r>
      <w:r w:rsidRPr="00726B93">
        <w:rPr>
          <w:rFonts w:ascii="Arial" w:hAnsi="Arial" w:cs="Arial"/>
          <w:sz w:val="24"/>
          <w:szCs w:val="24"/>
        </w:rPr>
        <w:t>Secretaria</w:t>
      </w:r>
      <w:r w:rsidR="008E7A9F" w:rsidRPr="00726B93">
        <w:rPr>
          <w:rFonts w:ascii="Arial" w:hAnsi="Arial" w:cs="Arial"/>
          <w:sz w:val="24"/>
          <w:szCs w:val="24"/>
        </w:rPr>
        <w:t xml:space="preserve">.- </w:t>
      </w:r>
      <w:r w:rsidR="008E7A9F" w:rsidRPr="00726B93">
        <w:rPr>
          <w:rFonts w:ascii="Arial" w:hAnsi="Arial" w:cs="Arial"/>
          <w:i/>
          <w:sz w:val="24"/>
          <w:szCs w:val="24"/>
        </w:rPr>
        <w:t>Rúbrica</w:t>
      </w:r>
      <w:r w:rsidR="008E7A9F" w:rsidRPr="00726B93">
        <w:rPr>
          <w:rFonts w:ascii="Arial" w:hAnsi="Arial" w:cs="Arial"/>
          <w:sz w:val="24"/>
          <w:szCs w:val="24"/>
        </w:rPr>
        <w:t>.</w:t>
      </w:r>
    </w:p>
    <w:p w:rsidR="00071BDE" w:rsidRPr="00726B93" w:rsidRDefault="00071BDE" w:rsidP="00071BDE">
      <w:pPr>
        <w:autoSpaceDE w:val="0"/>
        <w:autoSpaceDN w:val="0"/>
        <w:adjustRightInd w:val="0"/>
        <w:spacing w:after="0" w:line="240" w:lineRule="auto"/>
        <w:jc w:val="both"/>
        <w:rPr>
          <w:rFonts w:ascii="Arial" w:hAnsi="Arial" w:cs="Arial"/>
          <w:sz w:val="24"/>
          <w:szCs w:val="24"/>
        </w:rPr>
      </w:pPr>
    </w:p>
    <w:p w:rsidR="008477DB" w:rsidRPr="00726B93" w:rsidRDefault="008477DB" w:rsidP="00071BDE">
      <w:pPr>
        <w:autoSpaceDE w:val="0"/>
        <w:autoSpaceDN w:val="0"/>
        <w:adjustRightInd w:val="0"/>
        <w:spacing w:after="0" w:line="240" w:lineRule="auto"/>
        <w:jc w:val="both"/>
        <w:rPr>
          <w:rFonts w:ascii="Arial" w:hAnsi="Arial" w:cs="Arial"/>
          <w:sz w:val="24"/>
          <w:szCs w:val="24"/>
        </w:rPr>
      </w:pPr>
      <w:r w:rsidRPr="00726B93">
        <w:rPr>
          <w:rFonts w:ascii="Arial" w:hAnsi="Arial" w:cs="Arial"/>
          <w:sz w:val="24"/>
          <w:szCs w:val="24"/>
        </w:rPr>
        <w:t xml:space="preserve">Y en cumplimiento a los dispuesto en la Fracción II del Artículo 69 de la Constitución Política del Estado y para su debida observancia, promulgo el presente Decreto en la Residencia del Poder Ejecutivo de Nayarit en Tepic su capital, a los diecisiete días del mes de Diciembre del año dos mil doce.- </w:t>
      </w:r>
      <w:r w:rsidRPr="00726B93">
        <w:rPr>
          <w:rFonts w:ascii="Arial" w:hAnsi="Arial" w:cs="Arial"/>
          <w:b/>
          <w:sz w:val="24"/>
          <w:szCs w:val="24"/>
        </w:rPr>
        <w:t>ROBERTO SANDOVAL CASTAÑEDA</w:t>
      </w:r>
      <w:r w:rsidRPr="00726B93">
        <w:rPr>
          <w:rFonts w:ascii="Arial" w:hAnsi="Arial" w:cs="Arial"/>
          <w:sz w:val="24"/>
          <w:szCs w:val="24"/>
        </w:rPr>
        <w:t xml:space="preserve">.- </w:t>
      </w:r>
      <w:r w:rsidRPr="00726B93">
        <w:rPr>
          <w:rFonts w:ascii="Arial" w:hAnsi="Arial" w:cs="Arial"/>
          <w:i/>
          <w:sz w:val="24"/>
          <w:szCs w:val="24"/>
        </w:rPr>
        <w:t>Rúbrica</w:t>
      </w:r>
      <w:r w:rsidRPr="00726B93">
        <w:rPr>
          <w:rFonts w:ascii="Arial" w:hAnsi="Arial" w:cs="Arial"/>
          <w:sz w:val="24"/>
          <w:szCs w:val="24"/>
        </w:rPr>
        <w:t xml:space="preserve">.- El Secretario General de Gobierno, </w:t>
      </w:r>
      <w:r w:rsidRPr="00726B93">
        <w:rPr>
          <w:rFonts w:ascii="Arial" w:hAnsi="Arial" w:cs="Arial"/>
          <w:b/>
          <w:sz w:val="24"/>
          <w:szCs w:val="24"/>
        </w:rPr>
        <w:t>Lic. José Trinidad Espinoza Vargas</w:t>
      </w:r>
      <w:r w:rsidRPr="00726B93">
        <w:rPr>
          <w:rFonts w:ascii="Arial" w:hAnsi="Arial" w:cs="Arial"/>
          <w:sz w:val="24"/>
          <w:szCs w:val="24"/>
        </w:rPr>
        <w:t xml:space="preserve">.- </w:t>
      </w:r>
      <w:r w:rsidRPr="00726B93">
        <w:rPr>
          <w:rFonts w:ascii="Arial" w:hAnsi="Arial" w:cs="Arial"/>
          <w:i/>
          <w:sz w:val="24"/>
          <w:szCs w:val="24"/>
        </w:rPr>
        <w:t>Rúbrica</w:t>
      </w:r>
      <w:r w:rsidRPr="00726B93">
        <w:rPr>
          <w:rFonts w:ascii="Arial" w:hAnsi="Arial" w:cs="Arial"/>
          <w:sz w:val="24"/>
          <w:szCs w:val="24"/>
        </w:rPr>
        <w:t>.</w:t>
      </w:r>
    </w:p>
    <w:p w:rsidR="00071BDE" w:rsidRPr="00726B93" w:rsidRDefault="00071BDE" w:rsidP="00071BDE">
      <w:pPr>
        <w:autoSpaceDE w:val="0"/>
        <w:autoSpaceDN w:val="0"/>
        <w:adjustRightInd w:val="0"/>
        <w:spacing w:after="0" w:line="240" w:lineRule="auto"/>
        <w:jc w:val="both"/>
        <w:rPr>
          <w:rFonts w:ascii="Arial" w:hAnsi="Arial" w:cs="Arial"/>
          <w:b/>
          <w:bCs/>
          <w:sz w:val="24"/>
          <w:szCs w:val="24"/>
        </w:rPr>
      </w:pPr>
    </w:p>
    <w:p w:rsidR="00071BDE" w:rsidRPr="00726B93" w:rsidRDefault="00071BDE" w:rsidP="00071BDE">
      <w:pPr>
        <w:tabs>
          <w:tab w:val="left" w:pos="3825"/>
        </w:tabs>
        <w:spacing w:after="0" w:line="240" w:lineRule="auto"/>
        <w:rPr>
          <w:rFonts w:ascii="Arial" w:hAnsi="Arial" w:cs="Arial"/>
          <w:sz w:val="24"/>
          <w:szCs w:val="24"/>
        </w:rPr>
      </w:pPr>
    </w:p>
    <w:p w:rsidR="002A2BBB" w:rsidRPr="00726B93" w:rsidRDefault="002A2BBB" w:rsidP="00071BDE">
      <w:pPr>
        <w:spacing w:after="0" w:line="240" w:lineRule="auto"/>
        <w:rPr>
          <w:rFonts w:ascii="Arial" w:hAnsi="Arial" w:cs="Arial"/>
          <w:sz w:val="24"/>
          <w:szCs w:val="24"/>
        </w:rPr>
      </w:pPr>
    </w:p>
    <w:p w:rsidR="00071BDE" w:rsidRPr="00726B93" w:rsidRDefault="00071BDE" w:rsidP="00071BDE">
      <w:pPr>
        <w:spacing w:after="0" w:line="240" w:lineRule="auto"/>
        <w:rPr>
          <w:rFonts w:ascii="Arial" w:hAnsi="Arial" w:cs="Arial"/>
          <w:sz w:val="24"/>
          <w:szCs w:val="24"/>
        </w:rPr>
      </w:pPr>
    </w:p>
    <w:p w:rsidR="00071BDE" w:rsidRPr="00726B93" w:rsidRDefault="00071BDE" w:rsidP="00071BDE">
      <w:pPr>
        <w:spacing w:after="0" w:line="240" w:lineRule="auto"/>
        <w:rPr>
          <w:rFonts w:ascii="Arial" w:hAnsi="Arial" w:cs="Arial"/>
          <w:sz w:val="24"/>
          <w:szCs w:val="24"/>
        </w:rPr>
      </w:pPr>
    </w:p>
    <w:p w:rsidR="00726B93" w:rsidRPr="00726B93" w:rsidRDefault="00726B93">
      <w:pPr>
        <w:spacing w:after="0" w:line="240" w:lineRule="auto"/>
        <w:rPr>
          <w:rFonts w:ascii="Arial" w:hAnsi="Arial" w:cs="Arial"/>
          <w:sz w:val="24"/>
          <w:szCs w:val="24"/>
        </w:rPr>
      </w:pPr>
      <w:r w:rsidRPr="00726B93">
        <w:rPr>
          <w:rFonts w:ascii="Arial" w:hAnsi="Arial" w:cs="Arial"/>
          <w:sz w:val="24"/>
          <w:szCs w:val="24"/>
        </w:rPr>
        <w:br w:type="page"/>
      </w:r>
    </w:p>
    <w:sdt>
      <w:sdtPr>
        <w:rPr>
          <w:rFonts w:ascii="Arial" w:eastAsiaTheme="minorEastAsia" w:hAnsi="Arial" w:cs="Arial"/>
          <w:b w:val="0"/>
          <w:bCs w:val="0"/>
          <w:color w:val="auto"/>
          <w:sz w:val="24"/>
          <w:szCs w:val="24"/>
          <w:lang w:eastAsia="es-ES"/>
        </w:rPr>
        <w:id w:val="19533751"/>
        <w:docPartObj>
          <w:docPartGallery w:val="Table of Contents"/>
          <w:docPartUnique/>
        </w:docPartObj>
      </w:sdtPr>
      <w:sdtEndPr/>
      <w:sdtContent>
        <w:p w:rsidR="00726B93" w:rsidRPr="00726B93" w:rsidRDefault="00726B93">
          <w:pPr>
            <w:pStyle w:val="TtulodeTDC"/>
            <w:rPr>
              <w:rFonts w:ascii="Arial" w:hAnsi="Arial" w:cs="Arial"/>
              <w:color w:val="auto"/>
              <w:sz w:val="24"/>
              <w:szCs w:val="24"/>
            </w:rPr>
          </w:pPr>
          <w:r w:rsidRPr="00726B93">
            <w:rPr>
              <w:rFonts w:ascii="Arial" w:hAnsi="Arial" w:cs="Arial"/>
              <w:color w:val="auto"/>
              <w:sz w:val="24"/>
              <w:szCs w:val="24"/>
            </w:rPr>
            <w:t>Contenido</w:t>
          </w:r>
        </w:p>
        <w:p w:rsidR="00726B93" w:rsidRPr="00726B93" w:rsidRDefault="00726B93" w:rsidP="00726B93">
          <w:pPr>
            <w:rPr>
              <w:rFonts w:ascii="Arial" w:hAnsi="Arial" w:cs="Arial"/>
              <w:sz w:val="24"/>
              <w:szCs w:val="24"/>
              <w:lang w:eastAsia="en-US"/>
            </w:rPr>
          </w:pPr>
        </w:p>
        <w:p w:rsidR="00726B93" w:rsidRPr="00726B93" w:rsidRDefault="00F74B71">
          <w:pPr>
            <w:pStyle w:val="TDC2"/>
            <w:tabs>
              <w:tab w:val="right" w:leader="dot" w:pos="8210"/>
            </w:tabs>
            <w:rPr>
              <w:rFonts w:ascii="Arial" w:hAnsi="Arial" w:cs="Arial"/>
              <w:noProof/>
              <w:sz w:val="24"/>
              <w:szCs w:val="24"/>
            </w:rPr>
          </w:pPr>
          <w:r w:rsidRPr="00726B93">
            <w:rPr>
              <w:rFonts w:ascii="Arial" w:hAnsi="Arial" w:cs="Arial"/>
              <w:sz w:val="24"/>
              <w:szCs w:val="24"/>
            </w:rPr>
            <w:fldChar w:fldCharType="begin"/>
          </w:r>
          <w:r w:rsidR="00726B93" w:rsidRPr="00726B93">
            <w:rPr>
              <w:rFonts w:ascii="Arial" w:hAnsi="Arial" w:cs="Arial"/>
              <w:sz w:val="24"/>
              <w:szCs w:val="24"/>
            </w:rPr>
            <w:instrText xml:space="preserve"> TOC \o "1-3" \h \z \u </w:instrText>
          </w:r>
          <w:r w:rsidRPr="00726B93">
            <w:rPr>
              <w:rFonts w:ascii="Arial" w:hAnsi="Arial" w:cs="Arial"/>
              <w:sz w:val="24"/>
              <w:szCs w:val="24"/>
            </w:rPr>
            <w:fldChar w:fldCharType="separate"/>
          </w:r>
          <w:hyperlink w:anchor="_Toc359411851" w:history="1">
            <w:r w:rsidR="00726B93" w:rsidRPr="00726B93">
              <w:rPr>
                <w:rStyle w:val="Hipervnculo"/>
                <w:rFonts w:ascii="Arial" w:hAnsi="Arial" w:cs="Arial"/>
                <w:noProof/>
                <w:sz w:val="24"/>
                <w:szCs w:val="24"/>
              </w:rPr>
              <w:t>Capítulo Primero</w:t>
            </w:r>
          </w:hyperlink>
        </w:p>
        <w:p w:rsidR="00726B93" w:rsidRPr="00726B93" w:rsidRDefault="006E743C">
          <w:pPr>
            <w:pStyle w:val="TDC2"/>
            <w:tabs>
              <w:tab w:val="right" w:leader="dot" w:pos="8210"/>
            </w:tabs>
            <w:rPr>
              <w:rFonts w:ascii="Arial" w:hAnsi="Arial" w:cs="Arial"/>
              <w:noProof/>
              <w:sz w:val="24"/>
              <w:szCs w:val="24"/>
            </w:rPr>
          </w:pPr>
          <w:hyperlink w:anchor="_Toc359411852" w:history="1">
            <w:r w:rsidR="00726B93" w:rsidRPr="00726B93">
              <w:rPr>
                <w:rStyle w:val="Hipervnculo"/>
                <w:rFonts w:ascii="Arial" w:hAnsi="Arial" w:cs="Arial"/>
                <w:noProof/>
                <w:sz w:val="24"/>
                <w:szCs w:val="24"/>
              </w:rPr>
              <w:t>Disposiciones Generales</w:t>
            </w:r>
            <w:r w:rsidR="00726B93" w:rsidRPr="00726B93">
              <w:rPr>
                <w:rFonts w:ascii="Arial" w:hAnsi="Arial" w:cs="Arial"/>
                <w:noProof/>
                <w:webHidden/>
                <w:sz w:val="24"/>
                <w:szCs w:val="24"/>
              </w:rPr>
              <w:tab/>
            </w:r>
            <w:r w:rsidR="00F74B71" w:rsidRPr="00726B93">
              <w:rPr>
                <w:rFonts w:ascii="Arial" w:hAnsi="Arial" w:cs="Arial"/>
                <w:noProof/>
                <w:webHidden/>
                <w:sz w:val="24"/>
                <w:szCs w:val="24"/>
              </w:rPr>
              <w:fldChar w:fldCharType="begin"/>
            </w:r>
            <w:r w:rsidR="00726B93" w:rsidRPr="00726B93">
              <w:rPr>
                <w:rFonts w:ascii="Arial" w:hAnsi="Arial" w:cs="Arial"/>
                <w:noProof/>
                <w:webHidden/>
                <w:sz w:val="24"/>
                <w:szCs w:val="24"/>
              </w:rPr>
              <w:instrText xml:space="preserve"> PAGEREF _Toc359411852 \h </w:instrText>
            </w:r>
            <w:r w:rsidR="00F74B71" w:rsidRPr="00726B93">
              <w:rPr>
                <w:rFonts w:ascii="Arial" w:hAnsi="Arial" w:cs="Arial"/>
                <w:noProof/>
                <w:webHidden/>
                <w:sz w:val="24"/>
                <w:szCs w:val="24"/>
              </w:rPr>
            </w:r>
            <w:r w:rsidR="00F74B71" w:rsidRPr="00726B93">
              <w:rPr>
                <w:rFonts w:ascii="Arial" w:hAnsi="Arial" w:cs="Arial"/>
                <w:noProof/>
                <w:webHidden/>
                <w:sz w:val="24"/>
                <w:szCs w:val="24"/>
              </w:rPr>
              <w:fldChar w:fldCharType="separate"/>
            </w:r>
            <w:r w:rsidR="00726B93">
              <w:rPr>
                <w:rFonts w:ascii="Arial" w:hAnsi="Arial" w:cs="Arial"/>
                <w:noProof/>
                <w:webHidden/>
                <w:sz w:val="24"/>
                <w:szCs w:val="24"/>
              </w:rPr>
              <w:t>1</w:t>
            </w:r>
            <w:r w:rsidR="00F74B71" w:rsidRPr="00726B93">
              <w:rPr>
                <w:rFonts w:ascii="Arial" w:hAnsi="Arial" w:cs="Arial"/>
                <w:noProof/>
                <w:webHidden/>
                <w:sz w:val="24"/>
                <w:szCs w:val="24"/>
              </w:rPr>
              <w:fldChar w:fldCharType="end"/>
            </w:r>
          </w:hyperlink>
        </w:p>
        <w:p w:rsidR="00726B93" w:rsidRPr="00726B93" w:rsidRDefault="006E743C">
          <w:pPr>
            <w:pStyle w:val="TDC2"/>
            <w:tabs>
              <w:tab w:val="right" w:leader="dot" w:pos="8210"/>
            </w:tabs>
            <w:rPr>
              <w:rFonts w:ascii="Arial" w:hAnsi="Arial" w:cs="Arial"/>
              <w:noProof/>
              <w:sz w:val="24"/>
              <w:szCs w:val="24"/>
            </w:rPr>
          </w:pPr>
          <w:hyperlink w:anchor="_Toc359411853" w:history="1">
            <w:r w:rsidR="00726B93" w:rsidRPr="00726B93">
              <w:rPr>
                <w:rStyle w:val="Hipervnculo"/>
                <w:rFonts w:ascii="Arial" w:hAnsi="Arial" w:cs="Arial"/>
                <w:noProof/>
                <w:sz w:val="24"/>
                <w:szCs w:val="24"/>
              </w:rPr>
              <w:t>Capítulo segundo</w:t>
            </w:r>
          </w:hyperlink>
        </w:p>
        <w:p w:rsidR="00726B93" w:rsidRPr="00726B93" w:rsidRDefault="006E743C">
          <w:pPr>
            <w:pStyle w:val="TDC2"/>
            <w:tabs>
              <w:tab w:val="right" w:leader="dot" w:pos="8210"/>
            </w:tabs>
            <w:rPr>
              <w:rFonts w:ascii="Arial" w:hAnsi="Arial" w:cs="Arial"/>
              <w:noProof/>
              <w:sz w:val="24"/>
              <w:szCs w:val="24"/>
            </w:rPr>
          </w:pPr>
          <w:hyperlink w:anchor="_Toc359411854" w:history="1">
            <w:r w:rsidR="00726B93" w:rsidRPr="00726B93">
              <w:rPr>
                <w:rStyle w:val="Hipervnculo"/>
                <w:rFonts w:ascii="Arial" w:hAnsi="Arial" w:cs="Arial"/>
                <w:noProof/>
                <w:sz w:val="24"/>
                <w:szCs w:val="24"/>
              </w:rPr>
              <w:t>Del Expediente de Evaluación</w:t>
            </w:r>
            <w:r w:rsidR="00726B93" w:rsidRPr="00726B93">
              <w:rPr>
                <w:rFonts w:ascii="Arial" w:hAnsi="Arial" w:cs="Arial"/>
                <w:noProof/>
                <w:webHidden/>
                <w:sz w:val="24"/>
                <w:szCs w:val="24"/>
              </w:rPr>
              <w:tab/>
            </w:r>
            <w:r w:rsidR="00F74B71" w:rsidRPr="00726B93">
              <w:rPr>
                <w:rFonts w:ascii="Arial" w:hAnsi="Arial" w:cs="Arial"/>
                <w:noProof/>
                <w:webHidden/>
                <w:sz w:val="24"/>
                <w:szCs w:val="24"/>
              </w:rPr>
              <w:fldChar w:fldCharType="begin"/>
            </w:r>
            <w:r w:rsidR="00726B93" w:rsidRPr="00726B93">
              <w:rPr>
                <w:rFonts w:ascii="Arial" w:hAnsi="Arial" w:cs="Arial"/>
                <w:noProof/>
                <w:webHidden/>
                <w:sz w:val="24"/>
                <w:szCs w:val="24"/>
              </w:rPr>
              <w:instrText xml:space="preserve"> PAGEREF _Toc359411854 \h </w:instrText>
            </w:r>
            <w:r w:rsidR="00F74B71" w:rsidRPr="00726B93">
              <w:rPr>
                <w:rFonts w:ascii="Arial" w:hAnsi="Arial" w:cs="Arial"/>
                <w:noProof/>
                <w:webHidden/>
                <w:sz w:val="24"/>
                <w:szCs w:val="24"/>
              </w:rPr>
            </w:r>
            <w:r w:rsidR="00F74B71" w:rsidRPr="00726B93">
              <w:rPr>
                <w:rFonts w:ascii="Arial" w:hAnsi="Arial" w:cs="Arial"/>
                <w:noProof/>
                <w:webHidden/>
                <w:sz w:val="24"/>
                <w:szCs w:val="24"/>
              </w:rPr>
              <w:fldChar w:fldCharType="separate"/>
            </w:r>
            <w:r w:rsidR="00726B93">
              <w:rPr>
                <w:rFonts w:ascii="Arial" w:hAnsi="Arial" w:cs="Arial"/>
                <w:noProof/>
                <w:webHidden/>
                <w:sz w:val="24"/>
                <w:szCs w:val="24"/>
              </w:rPr>
              <w:t>3</w:t>
            </w:r>
            <w:r w:rsidR="00F74B71" w:rsidRPr="00726B93">
              <w:rPr>
                <w:rFonts w:ascii="Arial" w:hAnsi="Arial" w:cs="Arial"/>
                <w:noProof/>
                <w:webHidden/>
                <w:sz w:val="24"/>
                <w:szCs w:val="24"/>
              </w:rPr>
              <w:fldChar w:fldCharType="end"/>
            </w:r>
          </w:hyperlink>
        </w:p>
        <w:p w:rsidR="00726B93" w:rsidRPr="00726B93" w:rsidRDefault="006E743C">
          <w:pPr>
            <w:pStyle w:val="TDC2"/>
            <w:tabs>
              <w:tab w:val="right" w:leader="dot" w:pos="8210"/>
            </w:tabs>
            <w:rPr>
              <w:rFonts w:ascii="Arial" w:hAnsi="Arial" w:cs="Arial"/>
              <w:noProof/>
              <w:sz w:val="24"/>
              <w:szCs w:val="24"/>
            </w:rPr>
          </w:pPr>
          <w:hyperlink w:anchor="_Toc359411855" w:history="1">
            <w:r w:rsidR="00726B93" w:rsidRPr="00726B93">
              <w:rPr>
                <w:rStyle w:val="Hipervnculo"/>
                <w:rFonts w:ascii="Arial" w:hAnsi="Arial" w:cs="Arial"/>
                <w:noProof/>
                <w:sz w:val="24"/>
                <w:szCs w:val="24"/>
              </w:rPr>
              <w:t>Capítulo Tercero</w:t>
            </w:r>
          </w:hyperlink>
        </w:p>
        <w:p w:rsidR="00726B93" w:rsidRPr="00726B93" w:rsidRDefault="006E743C">
          <w:pPr>
            <w:pStyle w:val="TDC2"/>
            <w:tabs>
              <w:tab w:val="right" w:leader="dot" w:pos="8210"/>
            </w:tabs>
            <w:rPr>
              <w:rFonts w:ascii="Arial" w:hAnsi="Arial" w:cs="Arial"/>
              <w:noProof/>
              <w:sz w:val="24"/>
              <w:szCs w:val="24"/>
            </w:rPr>
          </w:pPr>
          <w:hyperlink w:anchor="_Toc359411856" w:history="1">
            <w:r w:rsidR="00726B93" w:rsidRPr="00726B93">
              <w:rPr>
                <w:rStyle w:val="Hipervnculo"/>
                <w:rFonts w:ascii="Arial" w:hAnsi="Arial" w:cs="Arial"/>
                <w:noProof/>
                <w:sz w:val="24"/>
                <w:szCs w:val="24"/>
              </w:rPr>
              <w:t>De los Magistrados del Tribunal Superior de Justicia</w:t>
            </w:r>
            <w:r w:rsidR="00726B93" w:rsidRPr="00726B93">
              <w:rPr>
                <w:rFonts w:ascii="Arial" w:hAnsi="Arial" w:cs="Arial"/>
                <w:noProof/>
                <w:webHidden/>
                <w:sz w:val="24"/>
                <w:szCs w:val="24"/>
              </w:rPr>
              <w:tab/>
            </w:r>
            <w:r w:rsidR="00F74B71" w:rsidRPr="00726B93">
              <w:rPr>
                <w:rFonts w:ascii="Arial" w:hAnsi="Arial" w:cs="Arial"/>
                <w:noProof/>
                <w:webHidden/>
                <w:sz w:val="24"/>
                <w:szCs w:val="24"/>
              </w:rPr>
              <w:fldChar w:fldCharType="begin"/>
            </w:r>
            <w:r w:rsidR="00726B93" w:rsidRPr="00726B93">
              <w:rPr>
                <w:rFonts w:ascii="Arial" w:hAnsi="Arial" w:cs="Arial"/>
                <w:noProof/>
                <w:webHidden/>
                <w:sz w:val="24"/>
                <w:szCs w:val="24"/>
              </w:rPr>
              <w:instrText xml:space="preserve"> PAGEREF _Toc359411856 \h </w:instrText>
            </w:r>
            <w:r w:rsidR="00F74B71" w:rsidRPr="00726B93">
              <w:rPr>
                <w:rFonts w:ascii="Arial" w:hAnsi="Arial" w:cs="Arial"/>
                <w:noProof/>
                <w:webHidden/>
                <w:sz w:val="24"/>
                <w:szCs w:val="24"/>
              </w:rPr>
            </w:r>
            <w:r w:rsidR="00F74B71" w:rsidRPr="00726B93">
              <w:rPr>
                <w:rFonts w:ascii="Arial" w:hAnsi="Arial" w:cs="Arial"/>
                <w:noProof/>
                <w:webHidden/>
                <w:sz w:val="24"/>
                <w:szCs w:val="24"/>
              </w:rPr>
              <w:fldChar w:fldCharType="separate"/>
            </w:r>
            <w:r w:rsidR="00726B93">
              <w:rPr>
                <w:rFonts w:ascii="Arial" w:hAnsi="Arial" w:cs="Arial"/>
                <w:noProof/>
                <w:webHidden/>
                <w:sz w:val="24"/>
                <w:szCs w:val="24"/>
              </w:rPr>
              <w:t>4</w:t>
            </w:r>
            <w:r w:rsidR="00F74B71" w:rsidRPr="00726B93">
              <w:rPr>
                <w:rFonts w:ascii="Arial" w:hAnsi="Arial" w:cs="Arial"/>
                <w:noProof/>
                <w:webHidden/>
                <w:sz w:val="24"/>
                <w:szCs w:val="24"/>
              </w:rPr>
              <w:fldChar w:fldCharType="end"/>
            </w:r>
          </w:hyperlink>
        </w:p>
        <w:p w:rsidR="00726B93" w:rsidRPr="00726B93" w:rsidRDefault="006E743C">
          <w:pPr>
            <w:pStyle w:val="TDC2"/>
            <w:tabs>
              <w:tab w:val="right" w:leader="dot" w:pos="8210"/>
            </w:tabs>
            <w:rPr>
              <w:rFonts w:ascii="Arial" w:hAnsi="Arial" w:cs="Arial"/>
              <w:noProof/>
              <w:sz w:val="24"/>
              <w:szCs w:val="24"/>
            </w:rPr>
          </w:pPr>
          <w:hyperlink w:anchor="_Toc359411857" w:history="1">
            <w:r w:rsidR="00726B93" w:rsidRPr="00726B93">
              <w:rPr>
                <w:rStyle w:val="Hipervnculo"/>
                <w:rFonts w:ascii="Arial" w:hAnsi="Arial" w:cs="Arial"/>
                <w:noProof/>
                <w:sz w:val="24"/>
                <w:szCs w:val="24"/>
              </w:rPr>
              <w:t>Capítulo Cuarto</w:t>
            </w:r>
          </w:hyperlink>
        </w:p>
        <w:p w:rsidR="00726B93" w:rsidRPr="00726B93" w:rsidRDefault="006E743C">
          <w:pPr>
            <w:pStyle w:val="TDC2"/>
            <w:tabs>
              <w:tab w:val="right" w:leader="dot" w:pos="8210"/>
            </w:tabs>
            <w:rPr>
              <w:rFonts w:ascii="Arial" w:hAnsi="Arial" w:cs="Arial"/>
              <w:noProof/>
              <w:sz w:val="24"/>
              <w:szCs w:val="24"/>
            </w:rPr>
          </w:pPr>
          <w:hyperlink w:anchor="_Toc359411858" w:history="1">
            <w:r w:rsidR="00726B93" w:rsidRPr="00726B93">
              <w:rPr>
                <w:rStyle w:val="Hipervnculo"/>
                <w:rFonts w:ascii="Arial" w:hAnsi="Arial" w:cs="Arial"/>
                <w:noProof/>
                <w:sz w:val="24"/>
                <w:szCs w:val="24"/>
              </w:rPr>
              <w:t>Procedimiento de evaluación</w:t>
            </w:r>
            <w:r w:rsidR="00726B93" w:rsidRPr="00726B93">
              <w:rPr>
                <w:rFonts w:ascii="Arial" w:hAnsi="Arial" w:cs="Arial"/>
                <w:noProof/>
                <w:webHidden/>
                <w:sz w:val="24"/>
                <w:szCs w:val="24"/>
              </w:rPr>
              <w:tab/>
            </w:r>
            <w:r w:rsidR="00F74B71" w:rsidRPr="00726B93">
              <w:rPr>
                <w:rFonts w:ascii="Arial" w:hAnsi="Arial" w:cs="Arial"/>
                <w:noProof/>
                <w:webHidden/>
                <w:sz w:val="24"/>
                <w:szCs w:val="24"/>
              </w:rPr>
              <w:fldChar w:fldCharType="begin"/>
            </w:r>
            <w:r w:rsidR="00726B93" w:rsidRPr="00726B93">
              <w:rPr>
                <w:rFonts w:ascii="Arial" w:hAnsi="Arial" w:cs="Arial"/>
                <w:noProof/>
                <w:webHidden/>
                <w:sz w:val="24"/>
                <w:szCs w:val="24"/>
              </w:rPr>
              <w:instrText xml:space="preserve"> PAGEREF _Toc359411858 \h </w:instrText>
            </w:r>
            <w:r w:rsidR="00F74B71" w:rsidRPr="00726B93">
              <w:rPr>
                <w:rFonts w:ascii="Arial" w:hAnsi="Arial" w:cs="Arial"/>
                <w:noProof/>
                <w:webHidden/>
                <w:sz w:val="24"/>
                <w:szCs w:val="24"/>
              </w:rPr>
            </w:r>
            <w:r w:rsidR="00F74B71" w:rsidRPr="00726B93">
              <w:rPr>
                <w:rFonts w:ascii="Arial" w:hAnsi="Arial" w:cs="Arial"/>
                <w:noProof/>
                <w:webHidden/>
                <w:sz w:val="24"/>
                <w:szCs w:val="24"/>
              </w:rPr>
              <w:fldChar w:fldCharType="separate"/>
            </w:r>
            <w:r w:rsidR="00726B93">
              <w:rPr>
                <w:rFonts w:ascii="Arial" w:hAnsi="Arial" w:cs="Arial"/>
                <w:noProof/>
                <w:webHidden/>
                <w:sz w:val="24"/>
                <w:szCs w:val="24"/>
              </w:rPr>
              <w:t>5</w:t>
            </w:r>
            <w:r w:rsidR="00F74B71" w:rsidRPr="00726B93">
              <w:rPr>
                <w:rFonts w:ascii="Arial" w:hAnsi="Arial" w:cs="Arial"/>
                <w:noProof/>
                <w:webHidden/>
                <w:sz w:val="24"/>
                <w:szCs w:val="24"/>
              </w:rPr>
              <w:fldChar w:fldCharType="end"/>
            </w:r>
          </w:hyperlink>
        </w:p>
        <w:p w:rsidR="00726B93" w:rsidRPr="00726B93" w:rsidRDefault="006E743C">
          <w:pPr>
            <w:pStyle w:val="TDC2"/>
            <w:tabs>
              <w:tab w:val="right" w:leader="dot" w:pos="8210"/>
            </w:tabs>
            <w:rPr>
              <w:rFonts w:ascii="Arial" w:hAnsi="Arial" w:cs="Arial"/>
              <w:noProof/>
              <w:sz w:val="24"/>
              <w:szCs w:val="24"/>
            </w:rPr>
          </w:pPr>
          <w:hyperlink w:anchor="_Toc359411859" w:history="1">
            <w:r w:rsidR="00726B93" w:rsidRPr="00726B93">
              <w:rPr>
                <w:rStyle w:val="Hipervnculo"/>
                <w:rFonts w:ascii="Arial" w:hAnsi="Arial" w:cs="Arial"/>
                <w:noProof/>
                <w:sz w:val="24"/>
                <w:szCs w:val="24"/>
              </w:rPr>
              <w:t>Transitorios</w:t>
            </w:r>
            <w:r w:rsidR="00726B93" w:rsidRPr="00726B93">
              <w:rPr>
                <w:rFonts w:ascii="Arial" w:hAnsi="Arial" w:cs="Arial"/>
                <w:noProof/>
                <w:webHidden/>
                <w:sz w:val="24"/>
                <w:szCs w:val="24"/>
              </w:rPr>
              <w:tab/>
            </w:r>
            <w:r w:rsidR="00F74B71" w:rsidRPr="00726B93">
              <w:rPr>
                <w:rFonts w:ascii="Arial" w:hAnsi="Arial" w:cs="Arial"/>
                <w:noProof/>
                <w:webHidden/>
                <w:sz w:val="24"/>
                <w:szCs w:val="24"/>
              </w:rPr>
              <w:fldChar w:fldCharType="begin"/>
            </w:r>
            <w:r w:rsidR="00726B93" w:rsidRPr="00726B93">
              <w:rPr>
                <w:rFonts w:ascii="Arial" w:hAnsi="Arial" w:cs="Arial"/>
                <w:noProof/>
                <w:webHidden/>
                <w:sz w:val="24"/>
                <w:szCs w:val="24"/>
              </w:rPr>
              <w:instrText xml:space="preserve"> PAGEREF _Toc359411859 \h </w:instrText>
            </w:r>
            <w:r w:rsidR="00F74B71" w:rsidRPr="00726B93">
              <w:rPr>
                <w:rFonts w:ascii="Arial" w:hAnsi="Arial" w:cs="Arial"/>
                <w:noProof/>
                <w:webHidden/>
                <w:sz w:val="24"/>
                <w:szCs w:val="24"/>
              </w:rPr>
            </w:r>
            <w:r w:rsidR="00F74B71" w:rsidRPr="00726B93">
              <w:rPr>
                <w:rFonts w:ascii="Arial" w:hAnsi="Arial" w:cs="Arial"/>
                <w:noProof/>
                <w:webHidden/>
                <w:sz w:val="24"/>
                <w:szCs w:val="24"/>
              </w:rPr>
              <w:fldChar w:fldCharType="separate"/>
            </w:r>
            <w:r w:rsidR="00726B93">
              <w:rPr>
                <w:rFonts w:ascii="Arial" w:hAnsi="Arial" w:cs="Arial"/>
                <w:noProof/>
                <w:webHidden/>
                <w:sz w:val="24"/>
                <w:szCs w:val="24"/>
              </w:rPr>
              <w:t>7</w:t>
            </w:r>
            <w:r w:rsidR="00F74B71" w:rsidRPr="00726B93">
              <w:rPr>
                <w:rFonts w:ascii="Arial" w:hAnsi="Arial" w:cs="Arial"/>
                <w:noProof/>
                <w:webHidden/>
                <w:sz w:val="24"/>
                <w:szCs w:val="24"/>
              </w:rPr>
              <w:fldChar w:fldCharType="end"/>
            </w:r>
          </w:hyperlink>
        </w:p>
        <w:p w:rsidR="00726B93" w:rsidRPr="00726B93" w:rsidRDefault="00F74B71">
          <w:pPr>
            <w:rPr>
              <w:rFonts w:ascii="Arial" w:hAnsi="Arial" w:cs="Arial"/>
              <w:sz w:val="24"/>
              <w:szCs w:val="24"/>
            </w:rPr>
          </w:pPr>
          <w:r w:rsidRPr="00726B93">
            <w:rPr>
              <w:rFonts w:ascii="Arial" w:hAnsi="Arial" w:cs="Arial"/>
              <w:sz w:val="24"/>
              <w:szCs w:val="24"/>
            </w:rPr>
            <w:fldChar w:fldCharType="end"/>
          </w:r>
        </w:p>
      </w:sdtContent>
    </w:sdt>
    <w:p w:rsidR="00071BDE" w:rsidRPr="00726B93" w:rsidRDefault="00071BDE" w:rsidP="00071BDE">
      <w:pPr>
        <w:spacing w:after="0" w:line="240" w:lineRule="auto"/>
        <w:rPr>
          <w:rFonts w:ascii="Arial" w:hAnsi="Arial" w:cs="Arial"/>
          <w:sz w:val="24"/>
          <w:szCs w:val="24"/>
        </w:rPr>
      </w:pPr>
    </w:p>
    <w:sectPr w:rsidR="00071BDE" w:rsidRPr="00726B93" w:rsidSect="008E7A9F">
      <w:headerReference w:type="even" r:id="rId9"/>
      <w:headerReference w:type="default" r:id="rId10"/>
      <w:footerReference w:type="even" r:id="rId11"/>
      <w:footerReference w:type="default" r:id="rId12"/>
      <w:headerReference w:type="first" r:id="rId13"/>
      <w:footerReference w:type="first" r:id="rId14"/>
      <w:pgSz w:w="11906" w:h="16838"/>
      <w:pgMar w:top="1702"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3C" w:rsidRDefault="006E743C" w:rsidP="00584692">
      <w:pPr>
        <w:spacing w:after="0" w:line="240" w:lineRule="auto"/>
      </w:pPr>
      <w:r>
        <w:separator/>
      </w:r>
    </w:p>
  </w:endnote>
  <w:endnote w:type="continuationSeparator" w:id="0">
    <w:p w:rsidR="006E743C" w:rsidRDefault="006E743C" w:rsidP="0058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5D" w:rsidRDefault="009378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5D" w:rsidRDefault="009378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5D" w:rsidRDefault="00937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3C" w:rsidRDefault="006E743C" w:rsidP="00584692">
      <w:pPr>
        <w:spacing w:after="0" w:line="240" w:lineRule="auto"/>
      </w:pPr>
      <w:r>
        <w:separator/>
      </w:r>
    </w:p>
  </w:footnote>
  <w:footnote w:type="continuationSeparator" w:id="0">
    <w:p w:rsidR="006E743C" w:rsidRDefault="006E743C" w:rsidP="0058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5D" w:rsidRDefault="009378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2" w:rsidRPr="00DA56F6" w:rsidRDefault="0093785D" w:rsidP="00584692">
    <w:pPr>
      <w:tabs>
        <w:tab w:val="left" w:pos="8820"/>
      </w:tabs>
      <w:spacing w:line="264" w:lineRule="auto"/>
      <w:ind w:left="1134" w:right="23"/>
      <w:jc w:val="right"/>
      <w:rPr>
        <w:rFonts w:ascii="Arial Black" w:hAnsi="Arial Black" w:cs="Arial"/>
        <w:shadow/>
        <w:sz w:val="16"/>
        <w:szCs w:val="16"/>
      </w:rPr>
    </w:pPr>
    <w:bookmarkStart w:id="9" w:name="_GoBack"/>
    <w:r>
      <w:rPr>
        <w:noProof/>
        <w:lang w:eastAsia="es-MX"/>
      </w:rPr>
      <w:drawing>
        <wp:anchor distT="0" distB="0" distL="114300" distR="114300" simplePos="0" relativeHeight="251660288" behindDoc="1" locked="0" layoutInCell="1" allowOverlap="1" wp14:anchorId="5BFFD9BE" wp14:editId="01512279">
          <wp:simplePos x="0" y="0"/>
          <wp:positionH relativeFrom="column">
            <wp:posOffset>-592455</wp:posOffset>
          </wp:positionH>
          <wp:positionV relativeFrom="paragraph">
            <wp:posOffset>-56515</wp:posOffset>
          </wp:positionV>
          <wp:extent cx="781050" cy="777875"/>
          <wp:effectExtent l="0" t="0" r="0"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7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r w:rsidR="006E743C">
      <w:rPr>
        <w:rFonts w:ascii="Times New Roman" w:hAnsi="Times New Roman" w:cs="Times New Roman"/>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41pt;margin-top:27.25pt;width:387pt;height:0;flip:x;z-index:251658240;mso-position-horizontal-relative:text;mso-position-vertical-relative:text" o:connectortype="straight">
          <v:shadow on="t"/>
        </v:shape>
      </w:pict>
    </w:r>
    <w:r w:rsidR="00584692" w:rsidRPr="00DA56F6">
      <w:rPr>
        <w:rFonts w:ascii="Arial Black" w:hAnsi="Arial Black" w:cs="Arial"/>
        <w:shadow/>
        <w:sz w:val="16"/>
        <w:szCs w:val="16"/>
      </w:rPr>
      <w:t xml:space="preserve"> LEY </w:t>
    </w:r>
    <w:r w:rsidR="00726B93">
      <w:rPr>
        <w:rFonts w:ascii="Arial Black" w:hAnsi="Arial Black" w:cs="Arial"/>
        <w:shadow/>
        <w:sz w:val="16"/>
        <w:szCs w:val="16"/>
      </w:rPr>
      <w:t xml:space="preserve">PARA EVALUAR EL DESEMPEÑO DE SERVIDORES PÚBLICOS DEL </w:t>
    </w:r>
    <w:r w:rsidR="00584692" w:rsidRPr="00DA56F6">
      <w:rPr>
        <w:rFonts w:ascii="Arial Black" w:hAnsi="Arial Black" w:cs="Arial"/>
        <w:shadow/>
        <w:sz w:val="16"/>
        <w:szCs w:val="16"/>
      </w:rPr>
      <w:t>ESTADO DE NAYARIT</w:t>
    </w:r>
  </w:p>
  <w:p w:rsidR="00584692" w:rsidRPr="00584692" w:rsidRDefault="00584692" w:rsidP="00584692">
    <w:pPr>
      <w:pStyle w:val="Sinespaciado"/>
      <w:ind w:left="426" w:firstLine="708"/>
      <w:rPr>
        <w:rFonts w:ascii="Arial" w:hAnsi="Arial" w:cs="Arial"/>
        <w:sz w:val="16"/>
        <w:szCs w:val="16"/>
      </w:rPr>
    </w:pPr>
    <w:r w:rsidRPr="00584692">
      <w:rPr>
        <w:rFonts w:ascii="Arial" w:hAnsi="Arial" w:cs="Arial"/>
        <w:sz w:val="16"/>
        <w:szCs w:val="16"/>
      </w:rPr>
      <w:t>Poder Legislativo del Estado de Nayarit</w:t>
    </w:r>
  </w:p>
  <w:p w:rsidR="00584692" w:rsidRPr="00584692" w:rsidRDefault="00584692" w:rsidP="00584692">
    <w:pPr>
      <w:pStyle w:val="Sinespaciado"/>
      <w:ind w:left="426" w:firstLine="708"/>
      <w:rPr>
        <w:rFonts w:ascii="Arial" w:hAnsi="Arial" w:cs="Arial"/>
        <w:sz w:val="16"/>
        <w:szCs w:val="16"/>
      </w:rPr>
    </w:pPr>
    <w:r w:rsidRPr="00584692">
      <w:rPr>
        <w:rFonts w:ascii="Arial" w:hAnsi="Arial" w:cs="Arial"/>
        <w:sz w:val="16"/>
        <w:szCs w:val="16"/>
      </w:rPr>
      <w:t>Secretaría General</w:t>
    </w:r>
  </w:p>
  <w:p w:rsidR="00584692" w:rsidRDefault="00584692">
    <w:pPr>
      <w:pStyle w:val="Encabezado"/>
    </w:pPr>
  </w:p>
  <w:p w:rsidR="00584692" w:rsidRDefault="0058469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5D" w:rsidRDefault="009378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A8A"/>
    <w:multiLevelType w:val="hybridMultilevel"/>
    <w:tmpl w:val="A37660B8"/>
    <w:lvl w:ilvl="0" w:tplc="0C0A0019">
      <w:start w:val="1"/>
      <w:numFmt w:val="lowerLetter"/>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7C2311"/>
    <w:multiLevelType w:val="hybridMultilevel"/>
    <w:tmpl w:val="29366606"/>
    <w:lvl w:ilvl="0" w:tplc="7714D218">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9D230F"/>
    <w:multiLevelType w:val="hybridMultilevel"/>
    <w:tmpl w:val="F5428550"/>
    <w:lvl w:ilvl="0" w:tplc="DAAA2B54">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071BDE"/>
    <w:rsid w:val="000348FB"/>
    <w:rsid w:val="00071BDE"/>
    <w:rsid w:val="00096BC0"/>
    <w:rsid w:val="001649BF"/>
    <w:rsid w:val="001A5BDC"/>
    <w:rsid w:val="00293C64"/>
    <w:rsid w:val="002A2BBB"/>
    <w:rsid w:val="003B6BEF"/>
    <w:rsid w:val="003D5F7E"/>
    <w:rsid w:val="003F0CA4"/>
    <w:rsid w:val="004657BC"/>
    <w:rsid w:val="004760A3"/>
    <w:rsid w:val="004B4705"/>
    <w:rsid w:val="004D2A9F"/>
    <w:rsid w:val="00584692"/>
    <w:rsid w:val="006E743C"/>
    <w:rsid w:val="007075F8"/>
    <w:rsid w:val="00726B93"/>
    <w:rsid w:val="008477DB"/>
    <w:rsid w:val="008E5F72"/>
    <w:rsid w:val="008E7A9F"/>
    <w:rsid w:val="008F612D"/>
    <w:rsid w:val="0093785D"/>
    <w:rsid w:val="00964E84"/>
    <w:rsid w:val="009C3C4E"/>
    <w:rsid w:val="00A86973"/>
    <w:rsid w:val="00B93EA3"/>
    <w:rsid w:val="00C91FFD"/>
    <w:rsid w:val="00D7639F"/>
    <w:rsid w:val="00DA56F6"/>
    <w:rsid w:val="00F36662"/>
    <w:rsid w:val="00F74B71"/>
    <w:rsid w:val="00FE52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DE"/>
    <w:pPr>
      <w:spacing w:after="200" w:line="276" w:lineRule="auto"/>
    </w:pPr>
    <w:rPr>
      <w:rFonts w:eastAsiaTheme="minorEastAsia"/>
      <w:lang w:eastAsia="es-ES"/>
    </w:rPr>
  </w:style>
  <w:style w:type="paragraph" w:styleId="Ttulo1">
    <w:name w:val="heading 1"/>
    <w:basedOn w:val="Normal"/>
    <w:next w:val="Normal"/>
    <w:link w:val="Ttulo1Car"/>
    <w:uiPriority w:val="9"/>
    <w:qFormat/>
    <w:rsid w:val="00726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6B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5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F7E"/>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584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692"/>
    <w:rPr>
      <w:rFonts w:eastAsiaTheme="minorEastAsia"/>
      <w:lang w:eastAsia="es-ES"/>
    </w:rPr>
  </w:style>
  <w:style w:type="paragraph" w:styleId="Piedepgina">
    <w:name w:val="footer"/>
    <w:basedOn w:val="Normal"/>
    <w:link w:val="PiedepginaCar"/>
    <w:uiPriority w:val="99"/>
    <w:unhideWhenUsed/>
    <w:rsid w:val="00584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692"/>
    <w:rPr>
      <w:rFonts w:eastAsiaTheme="minorEastAsia"/>
      <w:lang w:eastAsia="es-ES"/>
    </w:rPr>
  </w:style>
  <w:style w:type="paragraph" w:styleId="Sinespaciado">
    <w:name w:val="No Spacing"/>
    <w:uiPriority w:val="1"/>
    <w:qFormat/>
    <w:rsid w:val="00584692"/>
    <w:rPr>
      <w:rFonts w:eastAsiaTheme="minorEastAsia"/>
      <w:lang w:eastAsia="es-ES"/>
    </w:rPr>
  </w:style>
  <w:style w:type="character" w:customStyle="1" w:styleId="Ttulo2Car">
    <w:name w:val="Título 2 Car"/>
    <w:basedOn w:val="Fuentedeprrafopredeter"/>
    <w:link w:val="Ttulo2"/>
    <w:uiPriority w:val="9"/>
    <w:rsid w:val="00726B93"/>
    <w:rPr>
      <w:rFonts w:asciiTheme="majorHAnsi" w:eastAsiaTheme="majorEastAsia" w:hAnsiTheme="majorHAnsi" w:cstheme="majorBidi"/>
      <w:b/>
      <w:bCs/>
      <w:color w:val="4F81BD" w:themeColor="accent1"/>
      <w:sz w:val="26"/>
      <w:szCs w:val="26"/>
      <w:lang w:eastAsia="es-ES"/>
    </w:rPr>
  </w:style>
  <w:style w:type="character" w:customStyle="1" w:styleId="Ttulo1Car">
    <w:name w:val="Título 1 Car"/>
    <w:basedOn w:val="Fuentedeprrafopredeter"/>
    <w:link w:val="Ttulo1"/>
    <w:uiPriority w:val="9"/>
    <w:rsid w:val="00726B93"/>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semiHidden/>
    <w:unhideWhenUsed/>
    <w:qFormat/>
    <w:rsid w:val="00726B93"/>
    <w:pPr>
      <w:outlineLvl w:val="9"/>
    </w:pPr>
    <w:rPr>
      <w:lang w:eastAsia="en-US"/>
    </w:rPr>
  </w:style>
  <w:style w:type="paragraph" w:styleId="TDC2">
    <w:name w:val="toc 2"/>
    <w:basedOn w:val="Normal"/>
    <w:next w:val="Normal"/>
    <w:autoRedefine/>
    <w:uiPriority w:val="39"/>
    <w:unhideWhenUsed/>
    <w:rsid w:val="00726B93"/>
    <w:pPr>
      <w:spacing w:after="100"/>
      <w:ind w:left="220"/>
    </w:pPr>
  </w:style>
  <w:style w:type="character" w:styleId="Hipervnculo">
    <w:name w:val="Hyperlink"/>
    <w:basedOn w:val="Fuentedeprrafopredeter"/>
    <w:uiPriority w:val="99"/>
    <w:unhideWhenUsed/>
    <w:rsid w:val="00726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DE"/>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5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F7E"/>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8027">
      <w:bodyDiv w:val="1"/>
      <w:marLeft w:val="0"/>
      <w:marRight w:val="0"/>
      <w:marTop w:val="0"/>
      <w:marBottom w:val="0"/>
      <w:divBdr>
        <w:top w:val="none" w:sz="0" w:space="0" w:color="auto"/>
        <w:left w:val="none" w:sz="0" w:space="0" w:color="auto"/>
        <w:bottom w:val="none" w:sz="0" w:space="0" w:color="auto"/>
        <w:right w:val="none" w:sz="0" w:space="0" w:color="auto"/>
      </w:divBdr>
    </w:div>
    <w:div w:id="20236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51CE-47FC-480B-9013-378D31F4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1951</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EVELIA CARRILLO</dc:creator>
  <cp:lastModifiedBy>Carenine Josefina Cambero Cruz</cp:lastModifiedBy>
  <cp:revision>4</cp:revision>
  <cp:lastPrinted>2013-06-19T20:31:00Z</cp:lastPrinted>
  <dcterms:created xsi:type="dcterms:W3CDTF">2013-06-27T19:22:00Z</dcterms:created>
  <dcterms:modified xsi:type="dcterms:W3CDTF">2014-09-05T17:31:00Z</dcterms:modified>
</cp:coreProperties>
</file>